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63"/>
        <w:gridCol w:w="3247"/>
        <w:gridCol w:w="1444"/>
        <w:gridCol w:w="1576"/>
      </w:tblGrid>
      <w:tr w14:paraId="77A1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F7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0A7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DAE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2C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2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C3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惠企政策“免申即享”事项清单（涉及2023、2024年度国家级绿色工厂）扶持项目资金安排计划表</w:t>
            </w:r>
          </w:p>
        </w:tc>
      </w:tr>
      <w:tr w14:paraId="1A99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符合政策事项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拟安排扶持资金（万元）</w:t>
            </w:r>
          </w:p>
        </w:tc>
      </w:tr>
      <w:tr w14:paraId="2BEC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D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呈和科技股份有限公司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C64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广州环投云山环保能源有限公司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007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广州白云电器设备股份有限公司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04D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46A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广东省电力线路器材厂有限公司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8C5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卡尔蔡司光学（中国）有限公司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CBB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3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广州一品红制药有限公司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147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广州迪森家居环境技术有限公司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9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4F2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扬子江药业集团广州海瑞药业有限公司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A7F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广州统一企业有限公司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0CE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B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广州市朗坤环境科技有限公司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F17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6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广州市昊志机电股份有限公司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E17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广州大旺食品有限公司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D6E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广州市联柔机械设备有限公司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06D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广州广合科技股份有限公司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37B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3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粤芯半导体技术股份有限公司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BAA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F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4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B52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1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杉金光电（广州）有限公司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9E4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广东嘉德乐科技股份有限公司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B18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广州新莱福新材料股份有限公司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71E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玛氏箭牌糖果（中国）有限公司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20C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1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广州万孚生物技术股份有限公司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427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5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艾利丹尼森（广州）材料有限公司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7A8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蓝月亮（广州）有限公司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BA4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阿克苏诺贝尔漆油（广州）有限公司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2E0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8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广州科城环保科技有限公司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3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8C1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D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广州永旺食品有限公司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FF9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5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时代广汽动力电池有限公司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37B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0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广州锦兴纺织漂染有限公司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E6B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广州文冲船舶修造有限公司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6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899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5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广州电缆厂有限公司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709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5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广州樱泰汽车饰件有限公司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418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东方电气（广州）重型机器有限公司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6D3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好丽友食品（广州）有限公司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C50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7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广州环投从化环保能源有限公司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228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4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9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广州白云山汉方现代药业有限公司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777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4F9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7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2024年度国家级绿色工厂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6C9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49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</w:tr>
    </w:tbl>
    <w:p w14:paraId="0F7356AE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92A52"/>
    <w:rsid w:val="311644CD"/>
    <w:rsid w:val="FE65A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1107</Words>
  <Characters>1292</Characters>
  <Lines>0</Lines>
  <Paragraphs>0</Paragraphs>
  <TotalTime>1.33333333333333</TotalTime>
  <ScaleCrop>false</ScaleCrop>
  <LinksUpToDate>false</LinksUpToDate>
  <CharactersWithSpaces>1292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2025-03-27T14:45:33Z</dcterms:created>
  <dc:creator>杨梅梅</dc:creator>
  <cp:lastModifiedBy>芬达不爱可乐</cp:lastModifiedBy>
  <dcterms:modified xsi:type="dcterms:W3CDTF">2025-04-14T09:42:26Z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489CE2E5F55348EC85FE5AAF434E13D6_13</vt:lpwstr>
  </property>
</Properties>
</file>