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spacing w:line="50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 诺 书</w:t>
      </w:r>
    </w:p>
    <w:p>
      <w:pPr>
        <w:pStyle w:val="2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海珠区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科技工业商务和信息化</w:t>
      </w:r>
      <w:r>
        <w:rPr>
          <w:rFonts w:ascii="Times New Roman" w:hAnsi="Times New Roman" w:eastAsia="仿宋_GB2312" w:cs="Times New Roman"/>
          <w:sz w:val="32"/>
          <w:szCs w:val="32"/>
        </w:rPr>
        <w:t>局、海珠区财政局：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本企业、单位郑重承诺申请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海珠创新岛十八条外经贸企业奖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外贸方向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所提供的一切材料真实、可靠。如因提供的材料不实，愿承担相关法律责任。近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" w:cs="Times New Roman"/>
          <w:sz w:val="32"/>
          <w:szCs w:val="32"/>
        </w:rPr>
        <w:t>外经贸业务、财务管理、税收管理、外汇管理、海关监管和安全生产等方面无违法或受到行政处罚的记录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自获得该奖励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起5年内注册登记地址不搬离海珠区，不改变在海珠区的纳税纳统义务，不减少注册资本，合规使用资金，主动配合相关职能部门的监督检查和审计等工作，并履行好社会责任。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严格按照《广州市海珠区支持新兴产业发展实施细则》附则条款履行企业责任。</w:t>
      </w:r>
    </w:p>
    <w:p>
      <w:pPr>
        <w:pStyle w:val="2"/>
        <w:spacing w:line="500" w:lineRule="exact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　法定代表人签名：</w:t>
      </w:r>
    </w:p>
    <w:p>
      <w:pPr>
        <w:pStyle w:val="2"/>
        <w:spacing w:line="5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ind w:firstLine="4640" w:firstLineChars="14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企业（盖章）</w:t>
      </w:r>
    </w:p>
    <w:p>
      <w:pPr>
        <w:pStyle w:val="2"/>
        <w:spacing w:line="500" w:lineRule="exact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ind w:left="5180" w:leftChars="385" w:hanging="3948" w:hangingChars="123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0"/>
      </w:tabs>
      <w:ind w:hanging="180"/>
    </w:pPr>
    <w:rPr>
      <w:rFonts w:ascii="宋体" w:hAnsi="宋体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2023-02-14T02:32:23Z</dcterms:created>
  <dc:creator>谢艳阳</dc:creator>
  <cp:lastModifiedBy>谢艳阳</cp:lastModifiedBy>
  <dcterms:modified xsi:type="dcterms:W3CDTF">2023-02-14T02:32:38Z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33FC63FDA86F4D7FB41C207943FBEA02</vt:lpwstr>
  </property>
</Properties>
</file>