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jc w:val="left"/>
        <w:rPr>
          <w:rFonts w:hint="default" w:ascii="Times New Roman" w:eastAsia="黑体" w:cs="Times New Roman"/>
          <w:kern w:val="2"/>
          <w:szCs w:val="24"/>
          <w:lang w:val="en-US" w:eastAsia="zh-CN"/>
        </w:rPr>
      </w:pPr>
      <w:bookmarkStart w:id="0" w:name="_Toc13066"/>
      <w:r>
        <w:rPr>
          <w:rFonts w:hint="default" w:eastAsia="黑体" w:cs="Times New Roman"/>
          <w:kern w:val="2"/>
          <w:szCs w:val="24"/>
          <w:lang w:val="en-US" w:eastAsia="zh-CN"/>
        </w:rPr>
        <w:t>附件</w:t>
      </w:r>
      <w:bookmarkEnd w:id="0"/>
      <w:bookmarkStart w:id="2" w:name="_GoBack"/>
      <w:bookmarkEnd w:id="2"/>
      <w:r>
        <w:rPr>
          <w:rFonts w:hint="eastAsia" w:cs="Times New Roman"/>
          <w:kern w:val="2"/>
          <w:szCs w:val="24"/>
          <w:lang w:val="en-US" w:eastAsia="zh-CN"/>
        </w:rPr>
        <w:t>8</w:t>
      </w:r>
    </w:p>
    <w:p>
      <w:pPr>
        <w:pStyle w:val="3"/>
        <w:keepNext w:val="0"/>
        <w:keepLines w:val="0"/>
        <w:jc w:val="left"/>
        <w:rPr>
          <w:rFonts w:hint="eastAsia" w:ascii="Times New Roman" w:eastAsia="仿宋_GB2312"/>
          <w:kern w:val="2"/>
          <w:szCs w:val="24"/>
        </w:rPr>
      </w:pPr>
    </w:p>
    <w:p>
      <w:pPr>
        <w:keepNext w:val="0"/>
        <w:keepLines w:val="0"/>
        <w:widowControl w:val="0"/>
        <w:adjustRightInd w:val="0"/>
        <w:snapToGrid w:val="0"/>
        <w:spacing w:after="219" w:afterLines="50" w:line="560" w:lineRule="exact"/>
        <w:jc w:val="center"/>
        <w:outlineLvl w:val="0"/>
        <w:rPr>
          <w:rFonts w:ascii="方正小标宋简体" w:hAnsi="方正公文小标宋" w:eastAsia="方正小标宋简体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公文小标宋" w:eastAsia="方正小标宋简体" w:cstheme="minorBidi"/>
          <w:kern w:val="2"/>
          <w:sz w:val="36"/>
          <w:szCs w:val="36"/>
          <w:lang w:val="en-US" w:eastAsia="zh-CN" w:bidi="ar-SA"/>
        </w:rPr>
        <w:t>新引进学历人才生活补贴互斥支持项目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新引进学历人才生活补贴与《广州南沙国际化人才特区集聚人才九条措施》相关支持事项按照就高不重复原则享受支持，不可重复叠加享受，具体事项如下：</w:t>
      </w:r>
    </w:p>
    <w:tbl>
      <w:tblPr>
        <w:tblStyle w:val="4"/>
        <w:tblpPr w:leftFromText="180" w:rightFromText="180" w:vertAnchor="text" w:horzAnchor="page" w:tblpX="2220" w:tblpY="232"/>
        <w:tblOverlap w:val="never"/>
        <w:tblW w:w="7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170"/>
        <w:gridCol w:w="2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战略科学家、产业顶尖人才人才奖励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全职高层次人才奖励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柔性高层次人才奖励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港澳台侨青年创业就业支持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青年俊才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遴选与</w:t>
            </w: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博士后科研人员支持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新引进国际知名高校博士支持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海外专业人才支持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新引进技能人才、专业技术人才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高技能工匠遴选与支持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" w:name="_Toc27002"/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本区给予特定人才的购房优惠政策</w:t>
            </w:r>
          </w:p>
        </w:tc>
      </w:tr>
      <w:bookmarkEnd w:id="1"/>
    </w:tbl>
    <w:p>
      <w:pPr>
        <w:keepNext w:val="0"/>
        <w:keepLines w:val="0"/>
        <w:widowControl w:val="0"/>
        <w:suppressLineNumbers w:val="0"/>
        <w:adjustRightInd w:val="0"/>
        <w:snapToGrid w:val="0"/>
        <w:spacing w:line="240" w:lineRule="atLeast"/>
        <w:ind w:firstLine="0" w:firstLineChars="0"/>
        <w:jc w:val="both"/>
        <w:textAlignment w:val="center"/>
        <w:rPr>
          <w:rFonts w:hint="default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OGNkNWU1NTBiNzAxYjY5YjBjNjQ5ZDYyNThjYzIifQ=="/>
  </w:docVars>
  <w:rsids>
    <w:rsidRoot w:val="4E967167"/>
    <w:rsid w:val="009607F6"/>
    <w:rsid w:val="07E2277C"/>
    <w:rsid w:val="1F2F5848"/>
    <w:rsid w:val="2D510CFF"/>
    <w:rsid w:val="4C4B5DF1"/>
    <w:rsid w:val="4E967167"/>
    <w:rsid w:val="544A0CFD"/>
    <w:rsid w:val="61B3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ind w:firstLine="0" w:firstLineChars="0"/>
      <w:jc w:val="center"/>
      <w:outlineLvl w:val="0"/>
    </w:pPr>
    <w:rPr>
      <w:rFonts w:eastAsia="黑体"/>
      <w:kern w:val="44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2024-02-19T02:11:00Z</dcterms:created>
  <dc:creator>MidLake</dc:creator>
  <cp:lastModifiedBy>杰明</cp:lastModifiedBy>
  <cp:lastPrinted>2024-02-19T03:21:00Z</cp:lastPrinted>
  <dcterms:modified xsi:type="dcterms:W3CDTF">2024-03-07T01:37:38Z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CB7FB3D304B54CE4A72C9D4E6D5F915F_13</vt:lpwstr>
  </property>
</Properties>
</file>