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80" w:lineRule="exact"/>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附件6</w:t>
      </w:r>
    </w:p>
    <w:p>
      <w:pPr>
        <w:spacing w:beforeLines="0" w:afterLines="0" w:line="580" w:lineRule="exact"/>
        <w:ind w:left="0" w:firstLine="880" w:firstLineChars="200"/>
        <w:jc w:val="center"/>
        <w:rPr>
          <w:rFonts w:hint="eastAsia" w:ascii="方正小标宋简体" w:hAnsi="方正小标宋简体" w:eastAsia="方正小标宋简体" w:cs="方正小标宋简体"/>
          <w:sz w:val="44"/>
          <w:szCs w:val="44"/>
          <w:highlight w:val="none"/>
          <w:lang w:val="en-US" w:eastAsia="zh-CN"/>
        </w:rPr>
      </w:pPr>
    </w:p>
    <w:p>
      <w:pPr>
        <w:spacing w:beforeLines="0" w:afterLines="0" w:line="580" w:lineRule="exact"/>
        <w:ind w:left="0" w:firstLine="0" w:firstLineChars="0"/>
        <w:jc w:val="center"/>
        <w:rPr>
          <w:rFonts w:hint="default"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相关条款具体解释</w:t>
      </w:r>
    </w:p>
    <w:p>
      <w:pPr>
        <w:spacing w:beforeLines="0" w:afterLines="0" w:line="580" w:lineRule="exact"/>
        <w:ind w:left="0" w:firstLine="560" w:firstLineChars="200"/>
        <w:rPr>
          <w:rFonts w:hint="eastAsia" w:ascii="黑体" w:hAnsi="黑体" w:eastAsia="黑体" w:cs="黑体"/>
          <w:sz w:val="28"/>
          <w:szCs w:val="28"/>
          <w:highlight w:val="none"/>
          <w:lang w:val="en-US" w:eastAsia="zh-CN"/>
        </w:rPr>
      </w:pPr>
    </w:p>
    <w:p>
      <w:pPr>
        <w:widowControl/>
        <w:numPr>
          <w:ilvl w:val="-1"/>
          <w:numId w:val="0"/>
        </w:numPr>
        <w:spacing w:beforeLines="0" w:afterLines="0" w:line="580" w:lineRule="exact"/>
        <w:ind w:left="0"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一、关于“（单位）统计关系”的具体解释</w:t>
      </w:r>
    </w:p>
    <w:p>
      <w:pPr>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default" w:ascii="Times New Roman" w:hAnsi="Times New Roman" w:eastAsia="仿宋_GB2312" w:cs="Times New Roman"/>
          <w:strike w:val="0"/>
          <w:color w:val="auto"/>
          <w:sz w:val="32"/>
          <w:szCs w:val="32"/>
          <w:highlight w:val="none"/>
          <w:u w:val="none" w:color="auto"/>
          <w:lang w:val="en-US" w:eastAsia="zh-CN"/>
        </w:rPr>
      </w:pPr>
      <w:r>
        <w:rPr>
          <w:rFonts w:hint="default" w:ascii="Times New Roman" w:hAnsi="Times New Roman" w:eastAsia="仿宋_GB2312" w:cs="Times New Roman"/>
          <w:strike w:val="0"/>
          <w:color w:val="auto"/>
          <w:sz w:val="32"/>
          <w:szCs w:val="32"/>
          <w:highlight w:val="none"/>
          <w:u w:val="none" w:color="auto"/>
          <w:lang w:val="en-US" w:eastAsia="zh-CN"/>
        </w:rPr>
        <w:t>区统计局</w:t>
      </w:r>
      <w:r>
        <w:rPr>
          <w:rFonts w:hint="eastAsia" w:ascii="Times New Roman" w:hAnsi="Times New Roman" w:eastAsia="仿宋_GB2312" w:cs="Times New Roman"/>
          <w:strike w:val="0"/>
          <w:color w:val="auto"/>
          <w:sz w:val="32"/>
          <w:szCs w:val="32"/>
          <w:highlight w:val="none"/>
          <w:u w:val="none" w:color="auto"/>
          <w:lang w:val="en-US" w:eastAsia="zh-CN"/>
        </w:rPr>
        <w:t>对“（单位）</w:t>
      </w:r>
      <w:r>
        <w:rPr>
          <w:rFonts w:hint="default" w:ascii="Times New Roman" w:hAnsi="Times New Roman" w:eastAsia="仿宋_GB2312" w:cs="Times New Roman"/>
          <w:strike w:val="0"/>
          <w:color w:val="auto"/>
          <w:sz w:val="32"/>
          <w:szCs w:val="32"/>
          <w:highlight w:val="none"/>
          <w:u w:val="none" w:color="auto"/>
          <w:lang w:val="en-US" w:eastAsia="zh-CN"/>
        </w:rPr>
        <w:t>统计关系</w:t>
      </w:r>
      <w:r>
        <w:rPr>
          <w:rFonts w:hint="eastAsia" w:ascii="Times New Roman" w:hAnsi="Times New Roman" w:eastAsia="仿宋_GB2312" w:cs="Times New Roman"/>
          <w:strike w:val="0"/>
          <w:color w:val="auto"/>
          <w:sz w:val="32"/>
          <w:szCs w:val="32"/>
          <w:highlight w:val="none"/>
          <w:u w:val="none" w:color="auto"/>
          <w:lang w:val="en-US" w:eastAsia="zh-CN"/>
        </w:rPr>
        <w:t>”</w:t>
      </w:r>
      <w:r>
        <w:rPr>
          <w:rFonts w:hint="default" w:ascii="Times New Roman" w:hAnsi="Times New Roman" w:eastAsia="仿宋_GB2312" w:cs="Times New Roman"/>
          <w:strike w:val="0"/>
          <w:color w:val="auto"/>
          <w:sz w:val="32"/>
          <w:szCs w:val="32"/>
          <w:highlight w:val="none"/>
          <w:u w:val="none" w:color="auto"/>
          <w:lang w:val="en-US" w:eastAsia="zh-CN"/>
        </w:rPr>
        <w:t>的解释</w:t>
      </w:r>
      <w:r>
        <w:rPr>
          <w:rFonts w:hint="eastAsia" w:ascii="Times New Roman" w:hAnsi="Times New Roman" w:eastAsia="仿宋_GB2312" w:cs="Times New Roman"/>
          <w:strike w:val="0"/>
          <w:color w:val="auto"/>
          <w:sz w:val="32"/>
          <w:szCs w:val="32"/>
          <w:highlight w:val="none"/>
          <w:u w:val="none" w:color="auto"/>
          <w:lang w:val="en-US" w:eastAsia="zh-CN"/>
        </w:rPr>
        <w:t>为</w:t>
      </w:r>
      <w:r>
        <w:rPr>
          <w:rFonts w:hint="default" w:ascii="Times New Roman" w:hAnsi="Times New Roman" w:eastAsia="仿宋_GB2312" w:cs="Times New Roman"/>
          <w:strike w:val="0"/>
          <w:color w:val="auto"/>
          <w:sz w:val="32"/>
          <w:szCs w:val="32"/>
          <w:highlight w:val="none"/>
          <w:u w:val="none" w:color="auto"/>
          <w:lang w:val="en-US" w:eastAsia="zh-CN"/>
        </w:rPr>
        <w:t>：根据国家在地统计原则，具备独立法人资格的统计单位（包括可视同法人单位的分公司、分支机构）应当向经营所在地或主要经营所在地（指企业有多个经营地的情况）的县级统计部门提供有关统计资料并纳入当地统计基本单位名录库后，与当地统计部门建立的统计业务指导、管理关系。</w:t>
      </w:r>
    </w:p>
    <w:p>
      <w:pPr>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default" w:ascii="Times New Roman" w:hAnsi="Times New Roman" w:eastAsia="仿宋_GB2312" w:cs="Times New Roman"/>
          <w:strike w:val="0"/>
          <w:color w:val="auto"/>
          <w:sz w:val="32"/>
          <w:szCs w:val="32"/>
          <w:highlight w:val="none"/>
          <w:u w:val="none" w:color="auto"/>
          <w:lang w:val="en-US" w:eastAsia="zh-CN"/>
        </w:rPr>
      </w:pPr>
      <w:r>
        <w:rPr>
          <w:rFonts w:hint="eastAsia" w:ascii="Times New Roman" w:hAnsi="Times New Roman" w:eastAsia="仿宋_GB2312" w:cs="Times New Roman"/>
          <w:strike w:val="0"/>
          <w:color w:val="auto"/>
          <w:sz w:val="32"/>
          <w:szCs w:val="32"/>
          <w:highlight w:val="none"/>
          <w:u w:val="none" w:color="auto"/>
          <w:lang w:val="en-US" w:eastAsia="zh-CN"/>
        </w:rPr>
        <w:t>区统计局</w:t>
      </w:r>
      <w:r>
        <w:rPr>
          <w:rFonts w:hint="default" w:ascii="Times New Roman" w:hAnsi="Times New Roman" w:eastAsia="仿宋_GB2312" w:cs="Times New Roman"/>
          <w:strike w:val="0"/>
          <w:color w:val="auto"/>
          <w:sz w:val="32"/>
          <w:szCs w:val="32"/>
          <w:highlight w:val="none"/>
          <w:u w:val="none" w:color="auto"/>
          <w:lang w:val="en-US" w:eastAsia="zh-CN"/>
        </w:rPr>
        <w:t>业务咨询电话：020-34681003或020-39053692。</w:t>
      </w:r>
    </w:p>
    <w:p>
      <w:pPr>
        <w:keepNext w:val="0"/>
        <w:keepLines w:val="0"/>
        <w:pageBreakBefore w:val="0"/>
        <w:widowControl/>
        <w:numPr>
          <w:ilvl w:val="-1"/>
          <w:numId w:val="0"/>
        </w:numPr>
        <w:kinsoku/>
        <w:overflowPunct/>
        <w:topLinePunct w:val="0"/>
        <w:autoSpaceDE/>
        <w:autoSpaceDN/>
        <w:bidi w:val="0"/>
        <w:adjustRightInd/>
        <w:snapToGrid/>
        <w:spacing w:beforeLines="0" w:afterLines="0" w:line="58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二、“（单位）具有独立法人资格（含视同法人单位的专业服务机构）”具体包含以下三种情形：</w:t>
      </w:r>
    </w:p>
    <w:p>
      <w:pPr>
        <w:keepNext w:val="0"/>
        <w:keepLines w:val="0"/>
        <w:pageBreakBefore w:val="0"/>
        <w:widowControl w:val="0"/>
        <w:kinsoku/>
        <w:overflowPunct/>
        <w:topLinePunct w:val="0"/>
        <w:autoSpaceDE/>
        <w:autoSpaceDN/>
        <w:bidi w:val="0"/>
        <w:adjustRightInd/>
        <w:snapToGrid/>
        <w:spacing w:beforeLines="0" w:afterLines="0" w:line="580" w:lineRule="exact"/>
        <w:ind w:left="0" w:leftChars="0" w:firstLine="640" w:firstLineChars="200"/>
        <w:textAlignment w:val="auto"/>
        <w:rPr>
          <w:rFonts w:hint="eastAsia" w:eastAsia="仿宋_GB2312" w:cs="Times New Roman"/>
          <w:sz w:val="32"/>
          <w:szCs w:val="32"/>
          <w:highlight w:val="none"/>
          <w:lang w:eastAsia="zh-CN"/>
        </w:rPr>
      </w:pP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1</w:t>
      </w:r>
      <w:r>
        <w:rPr>
          <w:rFonts w:hint="eastAsia" w:eastAsia="仿宋_GB2312" w:cs="Times New Roman"/>
          <w:sz w:val="32"/>
          <w:szCs w:val="32"/>
          <w:highlight w:val="none"/>
          <w:lang w:val="en-US" w:eastAsia="zh-CN"/>
        </w:rPr>
        <w:t>）</w:t>
      </w:r>
      <w:r>
        <w:rPr>
          <w:rFonts w:hint="eastAsia" w:eastAsia="仿宋_GB2312" w:cs="Times New Roman"/>
          <w:sz w:val="32"/>
          <w:szCs w:val="32"/>
          <w:highlight w:val="none"/>
          <w:lang w:eastAsia="zh-CN"/>
        </w:rPr>
        <w:t>法人单位。</w:t>
      </w:r>
    </w:p>
    <w:p>
      <w:pPr>
        <w:keepNext w:val="0"/>
        <w:keepLines w:val="0"/>
        <w:pageBreakBefore w:val="0"/>
        <w:widowControl w:val="0"/>
        <w:kinsoku/>
        <w:overflowPunct/>
        <w:topLinePunct w:val="0"/>
        <w:autoSpaceDE/>
        <w:autoSpaceDN/>
        <w:bidi w:val="0"/>
        <w:adjustRightInd/>
        <w:snapToGrid/>
        <w:spacing w:beforeLines="0" w:afterLines="0" w:line="580" w:lineRule="exact"/>
        <w:ind w:left="0" w:leftChars="0" w:firstLine="640" w:firstLineChars="200"/>
        <w:textAlignment w:val="auto"/>
        <w:rPr>
          <w:rFonts w:hint="default" w:eastAsia="仿宋_GB2312" w:cs="Times New Roman"/>
          <w:sz w:val="32"/>
          <w:szCs w:val="32"/>
          <w:highlight w:val="none"/>
          <w:lang w:val="en-US" w:eastAsia="zh-CN"/>
        </w:rPr>
      </w:pPr>
      <w:r>
        <w:rPr>
          <w:rFonts w:hint="eastAsia"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w:t>
      </w:r>
      <w:r>
        <w:rPr>
          <w:rFonts w:hint="eastAsia" w:eastAsia="仿宋_GB2312" w:cs="Times New Roman"/>
          <w:sz w:val="32"/>
          <w:szCs w:val="32"/>
          <w:highlight w:val="none"/>
          <w:lang w:eastAsia="zh-CN"/>
        </w:rPr>
        <w:t>）经区统计部门核实符合国家统计局印发的《统计单位划分及具体处理办法》中有关“视同法人单位”条件的单位。</w:t>
      </w:r>
    </w:p>
    <w:p>
      <w:pPr>
        <w:spacing w:beforeLines="0" w:afterLines="0" w:line="580" w:lineRule="exact"/>
        <w:ind w:left="0" w:leftChars="0" w:firstLine="640" w:firstLineChars="200"/>
        <w:rPr>
          <w:rFonts w:hint="eastAsia" w:eastAsia="仿宋_GB2312" w:cs="Times New Roman"/>
          <w:sz w:val="32"/>
          <w:szCs w:val="32"/>
          <w:highlight w:val="none"/>
        </w:rPr>
      </w:pPr>
      <w:r>
        <w:rPr>
          <w:rFonts w:hint="eastAsia"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3</w:t>
      </w:r>
      <w:r>
        <w:rPr>
          <w:rFonts w:hint="eastAsia" w:eastAsia="仿宋_GB2312" w:cs="Times New Roman"/>
          <w:sz w:val="32"/>
          <w:szCs w:val="32"/>
          <w:highlight w:val="none"/>
          <w:lang w:eastAsia="zh-CN"/>
        </w:rPr>
        <w:t>）由</w:t>
      </w:r>
      <w:r>
        <w:rPr>
          <w:rFonts w:hint="eastAsia" w:eastAsia="仿宋_GB2312" w:cs="Times New Roman"/>
          <w:sz w:val="32"/>
          <w:szCs w:val="32"/>
          <w:highlight w:val="none"/>
        </w:rPr>
        <w:t>区财政、区司法部门审核推荐的会计师事务所、</w:t>
      </w:r>
    </w:p>
    <w:p>
      <w:pPr>
        <w:spacing w:beforeLines="0" w:afterLines="0" w:line="580" w:lineRule="exact"/>
        <w:ind w:left="0" w:leftChars="0" w:firstLine="0" w:firstLineChars="0"/>
        <w:rPr>
          <w:rFonts w:hint="eastAsia" w:eastAsia="仿宋_GB2312" w:cs="Times New Roman"/>
          <w:sz w:val="32"/>
          <w:szCs w:val="32"/>
          <w:highlight w:val="none"/>
          <w:lang w:val="en-US" w:eastAsia="zh-CN"/>
        </w:rPr>
      </w:pPr>
      <w:r>
        <w:rPr>
          <w:rFonts w:hint="eastAsia" w:eastAsia="仿宋_GB2312" w:cs="Times New Roman"/>
          <w:sz w:val="32"/>
          <w:szCs w:val="32"/>
          <w:highlight w:val="none"/>
        </w:rPr>
        <w:t>税务师事务所、律师事务所</w:t>
      </w:r>
      <w:r>
        <w:rPr>
          <w:rFonts w:hint="eastAsia" w:eastAsia="仿宋_GB2312" w:cs="Times New Roman"/>
          <w:sz w:val="32"/>
          <w:szCs w:val="32"/>
          <w:highlight w:val="none"/>
          <w:lang w:eastAsia="zh-CN"/>
        </w:rPr>
        <w:t>。</w:t>
      </w:r>
    </w:p>
    <w:p>
      <w:pPr>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default" w:ascii="Times New Roman" w:hAnsi="Times New Roman" w:eastAsia="仿宋_GB2312" w:cs="Times New Roman"/>
          <w:strike w:val="0"/>
          <w:color w:val="auto"/>
          <w:sz w:val="32"/>
          <w:szCs w:val="32"/>
          <w:highlight w:val="none"/>
          <w:u w:val="none" w:color="auto"/>
          <w:lang w:val="en-US" w:eastAsia="zh-CN"/>
        </w:rPr>
      </w:pPr>
      <w:r>
        <w:rPr>
          <w:rFonts w:hint="eastAsia" w:ascii="Times New Roman" w:hAnsi="Times New Roman" w:eastAsia="仿宋_GB2312" w:cs="Times New Roman"/>
          <w:strike w:val="0"/>
          <w:color w:val="auto"/>
          <w:sz w:val="32"/>
          <w:szCs w:val="32"/>
          <w:highlight w:val="none"/>
          <w:u w:val="none" w:color="auto"/>
          <w:lang w:val="en-US" w:eastAsia="zh-CN"/>
        </w:rPr>
        <w:t>区</w:t>
      </w:r>
      <w:r>
        <w:rPr>
          <w:rFonts w:hint="eastAsia" w:eastAsia="仿宋_GB2312" w:cs="Times New Roman"/>
          <w:sz w:val="32"/>
          <w:szCs w:val="32"/>
          <w:highlight w:val="none"/>
        </w:rPr>
        <w:t>财政</w:t>
      </w:r>
      <w:r>
        <w:rPr>
          <w:rFonts w:hint="eastAsia" w:ascii="Times New Roman" w:hAnsi="Times New Roman" w:eastAsia="仿宋_GB2312" w:cs="Times New Roman"/>
          <w:strike w:val="0"/>
          <w:color w:val="auto"/>
          <w:sz w:val="32"/>
          <w:szCs w:val="32"/>
          <w:highlight w:val="none"/>
          <w:u w:val="none" w:color="auto"/>
          <w:lang w:val="en-US" w:eastAsia="zh-CN"/>
        </w:rPr>
        <w:t>局</w:t>
      </w:r>
      <w:r>
        <w:rPr>
          <w:rFonts w:hint="default" w:ascii="Times New Roman" w:hAnsi="Times New Roman" w:eastAsia="仿宋_GB2312" w:cs="Times New Roman"/>
          <w:strike w:val="0"/>
          <w:color w:val="auto"/>
          <w:sz w:val="32"/>
          <w:szCs w:val="32"/>
          <w:highlight w:val="none"/>
          <w:u w:val="none" w:color="auto"/>
          <w:lang w:val="en-US" w:eastAsia="zh-CN"/>
        </w:rPr>
        <w:t>业务咨询电话：020-39910577。</w:t>
      </w:r>
    </w:p>
    <w:p>
      <w:pPr>
        <w:keepNext w:val="0"/>
        <w:keepLines w:val="0"/>
        <w:pageBreakBefore w:val="0"/>
        <w:widowControl w:val="0"/>
        <w:numPr>
          <w:ilvl w:val="0"/>
          <w:numId w:val="0"/>
        </w:numPr>
        <w:tabs>
          <w:tab w:val="left" w:pos="0"/>
        </w:tabs>
        <w:kinsoku/>
        <w:wordWrap w:val="0"/>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default" w:ascii="Times New Roman" w:hAnsi="Times New Roman" w:eastAsia="仿宋_GB2312" w:cs="Times New Roman"/>
          <w:strike w:val="0"/>
          <w:color w:val="auto"/>
          <w:sz w:val="32"/>
          <w:szCs w:val="32"/>
          <w:highlight w:val="none"/>
          <w:u w:val="none" w:color="auto"/>
          <w:lang w:val="en-US" w:eastAsia="zh-CN"/>
        </w:rPr>
      </w:pPr>
      <w:r>
        <w:rPr>
          <w:rFonts w:hint="eastAsia" w:ascii="Times New Roman" w:hAnsi="Times New Roman" w:eastAsia="仿宋_GB2312" w:cs="Times New Roman"/>
          <w:strike w:val="0"/>
          <w:color w:val="auto"/>
          <w:sz w:val="32"/>
          <w:szCs w:val="32"/>
          <w:highlight w:val="none"/>
          <w:u w:val="none" w:color="auto"/>
          <w:lang w:val="en-US" w:eastAsia="zh-CN"/>
        </w:rPr>
        <w:t>区</w:t>
      </w:r>
      <w:r>
        <w:rPr>
          <w:rFonts w:hint="eastAsia" w:eastAsia="仿宋_GB2312" w:cs="Times New Roman"/>
          <w:sz w:val="32"/>
          <w:szCs w:val="32"/>
          <w:highlight w:val="none"/>
        </w:rPr>
        <w:t>司法</w:t>
      </w:r>
      <w:r>
        <w:rPr>
          <w:rFonts w:hint="eastAsia" w:ascii="Times New Roman" w:hAnsi="Times New Roman" w:eastAsia="仿宋_GB2312" w:cs="Times New Roman"/>
          <w:strike w:val="0"/>
          <w:color w:val="auto"/>
          <w:sz w:val="32"/>
          <w:szCs w:val="32"/>
          <w:highlight w:val="none"/>
          <w:u w:val="none" w:color="auto"/>
          <w:lang w:val="en-US" w:eastAsia="zh-CN"/>
        </w:rPr>
        <w:t>局</w:t>
      </w:r>
      <w:r>
        <w:rPr>
          <w:rFonts w:hint="default" w:ascii="Times New Roman" w:hAnsi="Times New Roman" w:eastAsia="仿宋_GB2312" w:cs="Times New Roman"/>
          <w:strike w:val="0"/>
          <w:color w:val="auto"/>
          <w:sz w:val="32"/>
          <w:szCs w:val="32"/>
          <w:highlight w:val="none"/>
          <w:u w:val="none" w:color="auto"/>
          <w:lang w:val="en-US" w:eastAsia="zh-CN"/>
        </w:rPr>
        <w:t>业务咨询电话：020-39910508。</w:t>
      </w:r>
    </w:p>
    <w:p>
      <w:pPr>
        <w:spacing w:beforeLines="0" w:afterLines="0" w:line="580" w:lineRule="exact"/>
        <w:ind w:left="0" w:firstLine="560" w:firstLineChars="200"/>
        <w:rPr>
          <w:rFonts w:hint="eastAsia" w:ascii="黑体" w:hAnsi="黑体" w:eastAsia="黑体" w:cs="黑体"/>
          <w:sz w:val="32"/>
          <w:szCs w:val="32"/>
          <w:highlight w:val="none"/>
          <w:lang w:val="en-US" w:eastAsia="zh-CN"/>
        </w:rPr>
      </w:pPr>
      <w:r>
        <w:rPr>
          <w:rFonts w:hint="eastAsia" w:ascii="黑体" w:hAnsi="黑体" w:eastAsia="黑体" w:cs="黑体"/>
          <w:sz w:val="28"/>
          <w:szCs w:val="28"/>
          <w:highlight w:val="none"/>
          <w:lang w:val="en-US" w:eastAsia="zh-CN"/>
        </w:rPr>
        <w:t>三、</w:t>
      </w:r>
      <w:r>
        <w:rPr>
          <w:rFonts w:hint="eastAsia" w:ascii="黑体" w:hAnsi="黑体" w:eastAsia="黑体" w:cs="黑体"/>
          <w:sz w:val="32"/>
          <w:szCs w:val="32"/>
          <w:highlight w:val="none"/>
          <w:lang w:val="en-US" w:eastAsia="zh-CN"/>
        </w:rPr>
        <w:t>关于“</w:t>
      </w:r>
      <w:r>
        <w:rPr>
          <w:rFonts w:hint="eastAsia" w:ascii="黑体" w:hAnsi="黑体" w:eastAsia="黑体" w:cs="黑体"/>
          <w:sz w:val="32"/>
          <w:szCs w:val="32"/>
          <w:highlight w:val="none"/>
        </w:rPr>
        <w:t>在</w:t>
      </w:r>
      <w:r>
        <w:rPr>
          <w:rFonts w:hint="eastAsia" w:ascii="黑体" w:hAnsi="黑体" w:eastAsia="黑体" w:cs="黑体"/>
          <w:sz w:val="32"/>
          <w:szCs w:val="32"/>
          <w:highlight w:val="none"/>
          <w:lang w:val="en-US" w:eastAsia="zh-CN"/>
        </w:rPr>
        <w:t>南沙</w:t>
      </w:r>
      <w:r>
        <w:rPr>
          <w:rFonts w:hint="eastAsia" w:ascii="黑体" w:hAnsi="黑体" w:eastAsia="黑体" w:cs="黑体"/>
          <w:sz w:val="32"/>
          <w:szCs w:val="32"/>
          <w:highlight w:val="none"/>
        </w:rPr>
        <w:t>区实际办公</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rPr>
        <w:t>经营场地面积按不低于单位在本区缴纳个人所得税员工人数三分之一、人均10平方米核算）</w:t>
      </w:r>
      <w:r>
        <w:rPr>
          <w:rFonts w:hint="eastAsia" w:ascii="黑体" w:hAnsi="黑体" w:eastAsia="黑体" w:cs="黑体"/>
          <w:sz w:val="32"/>
          <w:szCs w:val="32"/>
          <w:highlight w:val="none"/>
          <w:lang w:val="en-US" w:eastAsia="zh-CN"/>
        </w:rPr>
        <w:t>”的具体说明</w:t>
      </w:r>
    </w:p>
    <w:p>
      <w:pPr>
        <w:spacing w:beforeLines="0" w:afterLines="0" w:line="580" w:lineRule="exact"/>
        <w:ind w:left="0" w:firstLine="640" w:firstLineChars="200"/>
        <w:rPr>
          <w:rFonts w:hint="eastAsia" w:eastAsia="仿宋_GB2312" w:cs="Times New Roman"/>
          <w:i w:val="0"/>
          <w:iCs w:val="0"/>
          <w:caps w:val="0"/>
          <w:spacing w:val="0"/>
          <w:sz w:val="32"/>
          <w:szCs w:val="32"/>
          <w:highlight w:val="none"/>
          <w:shd w:val="clear"/>
          <w:lang w:val="en-US" w:eastAsia="zh-CN"/>
        </w:rPr>
      </w:pPr>
      <w:r>
        <w:rPr>
          <w:rFonts w:hint="eastAsia" w:eastAsia="仿宋_GB2312"/>
          <w:sz w:val="32"/>
          <w:szCs w:val="32"/>
          <w:highlight w:val="none"/>
          <w:lang w:val="en-US" w:eastAsia="zh-CN"/>
        </w:rPr>
        <w:t>（一）</w:t>
      </w:r>
      <w:r>
        <w:rPr>
          <w:rFonts w:hint="default" w:eastAsia="仿宋_GB2312"/>
          <w:sz w:val="32"/>
          <w:szCs w:val="32"/>
          <w:highlight w:val="none"/>
        </w:rPr>
        <w:t>申报单位应为经营场地</w:t>
      </w:r>
      <w:r>
        <w:rPr>
          <w:rFonts w:hint="eastAsia" w:eastAsia="仿宋_GB2312"/>
          <w:sz w:val="32"/>
          <w:szCs w:val="32"/>
          <w:highlight w:val="none"/>
          <w:lang w:val="en-US" w:eastAsia="zh-CN"/>
        </w:rPr>
        <w:t>的</w:t>
      </w:r>
      <w:r>
        <w:rPr>
          <w:rFonts w:hint="default" w:eastAsia="仿宋_GB2312"/>
          <w:sz w:val="32"/>
          <w:szCs w:val="32"/>
          <w:highlight w:val="none"/>
        </w:rPr>
        <w:t>产权人或租赁人，或者申报单位与产权人或租赁人（产权人或租赁人也应注册在南沙）同属一家集团公司（单位）</w:t>
      </w:r>
      <w:r>
        <w:rPr>
          <w:rFonts w:hint="eastAsia" w:ascii="Times New Roman" w:hAnsi="Times New Roman" w:eastAsia="仿宋_GB2312" w:cs="Times New Roman"/>
          <w:sz w:val="32"/>
          <w:szCs w:val="32"/>
          <w:highlight w:val="none"/>
          <w:lang w:val="en-US" w:eastAsia="zh-CN"/>
        </w:rPr>
        <w:t>，</w:t>
      </w:r>
      <w:r>
        <w:rPr>
          <w:rFonts w:hint="eastAsia" w:eastAsia="仿宋_GB2312" w:cs="Times New Roman"/>
          <w:i w:val="0"/>
          <w:iCs w:val="0"/>
          <w:caps w:val="0"/>
          <w:spacing w:val="0"/>
          <w:sz w:val="32"/>
          <w:szCs w:val="32"/>
          <w:highlight w:val="none"/>
          <w:shd w:val="clear"/>
          <w:lang w:val="en-US" w:eastAsia="zh-CN"/>
        </w:rPr>
        <w:t>“</w:t>
      </w:r>
      <w:r>
        <w:rPr>
          <w:rFonts w:hint="default" w:eastAsia="仿宋_GB2312"/>
          <w:sz w:val="32"/>
          <w:szCs w:val="32"/>
          <w:highlight w:val="none"/>
        </w:rPr>
        <w:t>同属一家集团公司（单位）</w:t>
      </w:r>
      <w:r>
        <w:rPr>
          <w:rFonts w:hint="eastAsia" w:eastAsia="仿宋_GB2312" w:cs="Times New Roman"/>
          <w:i w:val="0"/>
          <w:iCs w:val="0"/>
          <w:caps w:val="0"/>
          <w:spacing w:val="0"/>
          <w:sz w:val="32"/>
          <w:szCs w:val="32"/>
          <w:highlight w:val="none"/>
          <w:shd w:val="clear"/>
          <w:lang w:val="en-US" w:eastAsia="zh-CN"/>
        </w:rPr>
        <w:t>”仅追溯至上一层级股权结构。</w:t>
      </w:r>
    </w:p>
    <w:p>
      <w:pPr>
        <w:spacing w:beforeLines="0" w:afterLines="0" w:line="580" w:lineRule="exact"/>
        <w:ind w:left="0" w:firstLine="640" w:firstLineChars="200"/>
        <w:jc w:val="left"/>
        <w:rPr>
          <w:rFonts w:hint="eastAsia" w:ascii="楷体" w:hAnsi="楷体" w:eastAsia="楷体" w:cs="楷体"/>
          <w:sz w:val="32"/>
          <w:szCs w:val="32"/>
          <w:highlight w:val="none"/>
          <w:lang w:val="en-US" w:eastAsia="zh-CN"/>
        </w:rPr>
      </w:pPr>
      <w:r>
        <w:rPr>
          <w:rFonts w:hint="eastAsia" w:ascii="楷体" w:hAnsi="楷体" w:eastAsia="楷体" w:cs="楷体"/>
          <w:i w:val="0"/>
          <w:iCs w:val="0"/>
          <w:caps w:val="0"/>
          <w:spacing w:val="0"/>
          <w:sz w:val="32"/>
          <w:szCs w:val="32"/>
          <w:highlight w:val="none"/>
          <w:shd w:val="clear"/>
          <w:lang w:val="en-US" w:eastAsia="zh-CN"/>
        </w:rPr>
        <w:t>备注：租赁办公场地的单位须办理租赁备案手续。</w:t>
      </w:r>
    </w:p>
    <w:p>
      <w:pPr>
        <w:numPr>
          <w:ilvl w:val="-1"/>
          <w:numId w:val="0"/>
        </w:numPr>
        <w:spacing w:beforeLines="0" w:afterLines="0" w:line="580" w:lineRule="exact"/>
        <w:ind w:left="0" w:firstLine="640" w:firstLineChars="200"/>
        <w:rPr>
          <w:rFonts w:hint="default" w:eastAsia="仿宋_GB2312"/>
          <w:sz w:val="32"/>
          <w:szCs w:val="32"/>
          <w:highlight w:val="none"/>
          <w:lang w:val="en-US" w:eastAsia="zh-CN"/>
        </w:rPr>
      </w:pPr>
      <w:r>
        <w:rPr>
          <w:rFonts w:hint="eastAsia" w:eastAsia="仿宋_GB2312"/>
          <w:sz w:val="32"/>
          <w:szCs w:val="32"/>
          <w:highlight w:val="none"/>
          <w:lang w:val="en-US" w:eastAsia="zh-CN"/>
        </w:rPr>
        <w:t>（二）</w:t>
      </w:r>
      <w:r>
        <w:rPr>
          <w:rFonts w:hint="default" w:ascii="Times New Roman" w:hAnsi="Times New Roman" w:eastAsia="仿宋_GB2312" w:cs="Times New Roman"/>
          <w:i w:val="0"/>
          <w:iCs w:val="0"/>
          <w:caps w:val="0"/>
          <w:spacing w:val="0"/>
          <w:sz w:val="32"/>
          <w:szCs w:val="32"/>
          <w:highlight w:val="none"/>
          <w:shd w:val="clear"/>
          <w:lang w:val="en-US" w:eastAsia="zh-CN"/>
        </w:rPr>
        <w:t>在本区缴纳个人所得税员工人数</w:t>
      </w:r>
      <w:r>
        <w:rPr>
          <w:rFonts w:hint="eastAsia" w:eastAsia="仿宋_GB2312" w:cs="Times New Roman"/>
          <w:i w:val="0"/>
          <w:iCs w:val="0"/>
          <w:caps w:val="0"/>
          <w:spacing w:val="0"/>
          <w:sz w:val="32"/>
          <w:szCs w:val="32"/>
          <w:highlight w:val="none"/>
          <w:shd w:val="clear"/>
          <w:lang w:val="en-US" w:eastAsia="zh-CN"/>
        </w:rPr>
        <w:t>，产权及租赁情况同属一家集团公司（单位）的情况，</w:t>
      </w:r>
      <w:r>
        <w:rPr>
          <w:rFonts w:hint="default" w:ascii="Times New Roman" w:hAnsi="Times New Roman" w:eastAsia="仿宋_GB2312" w:cs="Times New Roman"/>
          <w:i w:val="0"/>
          <w:iCs w:val="0"/>
          <w:caps w:val="0"/>
          <w:spacing w:val="0"/>
          <w:sz w:val="32"/>
          <w:szCs w:val="32"/>
          <w:highlight w:val="none"/>
          <w:shd w:val="clear"/>
          <w:lang w:val="en-US" w:eastAsia="zh-CN"/>
        </w:rPr>
        <w:t>以申报指南发布的上一月数据为准</w:t>
      </w:r>
      <w:r>
        <w:rPr>
          <w:rFonts w:hint="eastAsia" w:eastAsia="仿宋_GB2312" w:cs="Times New Roman"/>
          <w:i w:val="0"/>
          <w:iCs w:val="0"/>
          <w:caps w:val="0"/>
          <w:spacing w:val="0"/>
          <w:sz w:val="32"/>
          <w:szCs w:val="32"/>
          <w:highlight w:val="none"/>
          <w:shd w:val="clear"/>
          <w:lang w:val="en-US" w:eastAsia="zh-CN"/>
        </w:rPr>
        <w:t>。</w:t>
      </w:r>
    </w:p>
    <w:p>
      <w:pPr>
        <w:spacing w:beforeLines="0" w:afterLines="0" w:line="580" w:lineRule="exact"/>
        <w:ind w:firstLine="640" w:firstLineChars="200"/>
        <w:jc w:val="left"/>
        <w:rPr>
          <w:rFonts w:hint="eastAsia" w:ascii="楷体" w:hAnsi="楷体" w:eastAsia="楷体" w:cs="楷体"/>
          <w:strike w:val="0"/>
          <w:dstrike w:val="0"/>
          <w:sz w:val="32"/>
          <w:szCs w:val="32"/>
          <w:highlight w:val="none"/>
          <w:u w:val="none"/>
          <w:lang w:val="en-US" w:eastAsia="zh-CN"/>
        </w:rPr>
      </w:pPr>
      <w:r>
        <w:rPr>
          <w:rFonts w:hint="eastAsia" w:ascii="楷体" w:hAnsi="楷体" w:eastAsia="楷体" w:cs="楷体"/>
          <w:kern w:val="2"/>
          <w:sz w:val="32"/>
          <w:szCs w:val="32"/>
          <w:highlight w:val="none"/>
          <w:lang w:val="en-US" w:eastAsia="zh-CN" w:bidi="ar-SA"/>
        </w:rPr>
        <w:t>例：A单位2024年2月在南沙</w:t>
      </w:r>
      <w:r>
        <w:rPr>
          <w:rFonts w:hint="eastAsia" w:ascii="楷体" w:hAnsi="楷体" w:eastAsia="楷体" w:cs="楷体"/>
          <w:sz w:val="32"/>
          <w:szCs w:val="32"/>
          <w:highlight w:val="none"/>
          <w:lang w:eastAsia="zh-CN"/>
        </w:rPr>
        <w:t>区个人所得税申报人数共</w:t>
      </w:r>
      <w:r>
        <w:rPr>
          <w:rFonts w:hint="eastAsia" w:ascii="楷体" w:hAnsi="楷体" w:eastAsia="楷体" w:cs="楷体"/>
          <w:sz w:val="32"/>
          <w:szCs w:val="32"/>
          <w:highlight w:val="none"/>
          <w:lang w:val="en-US" w:eastAsia="zh-CN"/>
        </w:rPr>
        <w:t>166人次，则A单位须</w:t>
      </w:r>
      <w:r>
        <w:rPr>
          <w:rFonts w:hint="eastAsia" w:ascii="楷体" w:hAnsi="楷体" w:eastAsia="楷体" w:cs="楷体"/>
          <w:sz w:val="32"/>
          <w:szCs w:val="32"/>
          <w:highlight w:val="none"/>
          <w:u w:val="none"/>
          <w:lang w:val="en-US" w:eastAsia="zh-CN"/>
        </w:rPr>
        <w:t>满足以下实际办公条件</w:t>
      </w:r>
      <w:r>
        <w:rPr>
          <w:rFonts w:hint="eastAsia" w:ascii="楷体" w:hAnsi="楷体" w:eastAsia="楷体" w:cs="楷体"/>
          <w:strike w:val="0"/>
          <w:dstrike w:val="0"/>
          <w:sz w:val="32"/>
          <w:szCs w:val="32"/>
          <w:highlight w:val="none"/>
          <w:u w:val="none"/>
          <w:lang w:val="en-US" w:eastAsia="zh-CN"/>
        </w:rPr>
        <w:t>：</w:t>
      </w:r>
    </w:p>
    <w:p>
      <w:pPr>
        <w:spacing w:beforeLines="0" w:afterLines="0" w:line="580" w:lineRule="exact"/>
        <w:ind w:left="0" w:leftChars="0" w:firstLine="640" w:firstLineChars="200"/>
        <w:jc w:val="left"/>
        <w:rPr>
          <w:rFonts w:hint="eastAsia" w:ascii="楷体" w:hAnsi="楷体" w:eastAsia="楷体" w:cs="楷体"/>
          <w:sz w:val="32"/>
          <w:szCs w:val="32"/>
          <w:highlight w:val="none"/>
          <w:lang w:val="en-US" w:eastAsia="zh-CN"/>
        </w:rPr>
      </w:pPr>
      <w:r>
        <w:rPr>
          <w:rFonts w:hint="eastAsia" w:ascii="楷体" w:hAnsi="楷体" w:eastAsia="楷体" w:cs="楷体"/>
          <w:position w:val="-24"/>
          <w:sz w:val="32"/>
          <w:szCs w:val="32"/>
          <w:highlight w:val="none"/>
          <w:u w:val="none"/>
          <w:lang w:val="en-US" w:eastAsia="zh-CN"/>
        </w:rPr>
        <w:pict>
          <v:shape id="_x0000_s1026" o:spid="_x0000_s1026" o:spt="75" type="#_x0000_t75" style="position:absolute;left:0pt;margin-left:194.95pt;margin-top:27.2pt;height:37.2pt;width:101.8pt;z-index:251660288;mso-width-relative:page;mso-height-relative:page;" o:ole="t" filled="f" o:preferrelative="t" stroked="f" coordsize="21600,21600">
            <v:path/>
            <v:fill on="f" focussize="0,0"/>
            <v:stroke on="f"/>
            <v:imagedata r:id="rId6" o:title=""/>
            <o:lock v:ext="edit" aspectratio="t"/>
          </v:shape>
          <o:OLEObject Type="Embed" ProgID="Equation.KSEE3" ShapeID="_x0000_s1026" DrawAspect="Content" ObjectID="_1468075725" r:id="rId5">
            <o:LockedField>false</o:LockedField>
          </o:OLEObject>
        </w:pict>
      </w:r>
      <w:r>
        <w:rPr>
          <w:rFonts w:hint="eastAsia" w:ascii="楷体" w:hAnsi="楷体" w:eastAsia="楷体" w:cs="楷体"/>
          <w:kern w:val="2"/>
          <w:sz w:val="32"/>
          <w:szCs w:val="32"/>
          <w:highlight w:val="none"/>
          <w:lang w:val="en-US" w:eastAsia="zh-CN" w:bidi="ar-SA"/>
        </w:rPr>
        <w:t>A单位在南沙</w:t>
      </w:r>
      <w:r>
        <w:rPr>
          <w:rFonts w:hint="eastAsia" w:ascii="楷体" w:hAnsi="楷体" w:eastAsia="楷体" w:cs="楷体"/>
          <w:sz w:val="32"/>
          <w:szCs w:val="32"/>
          <w:highlight w:val="none"/>
          <w:lang w:eastAsia="zh-CN"/>
        </w:rPr>
        <w:t>区</w:t>
      </w:r>
      <w:r>
        <w:rPr>
          <w:rFonts w:hint="eastAsia" w:ascii="楷体" w:hAnsi="楷体" w:eastAsia="楷体" w:cs="楷体"/>
          <w:sz w:val="32"/>
          <w:szCs w:val="32"/>
          <w:highlight w:val="none"/>
          <w:lang w:val="en-US" w:eastAsia="zh-CN"/>
        </w:rPr>
        <w:t>所有不动产权、租赁办公场地和合法使用证明</w:t>
      </w:r>
      <w:r>
        <w:rPr>
          <w:rFonts w:hint="eastAsia" w:ascii="楷体" w:hAnsi="楷体" w:eastAsia="楷体" w:cs="楷体"/>
          <w:sz w:val="32"/>
          <w:szCs w:val="32"/>
          <w:highlight w:val="none"/>
          <w:lang w:eastAsia="zh-CN"/>
        </w:rPr>
        <w:t>面积</w:t>
      </w:r>
      <w:r>
        <w:rPr>
          <w:rFonts w:hint="eastAsia" w:ascii="楷体" w:hAnsi="楷体" w:eastAsia="楷体" w:cs="楷体"/>
          <w:sz w:val="32"/>
          <w:szCs w:val="32"/>
          <w:highlight w:val="none"/>
          <w:lang w:val="en-US" w:eastAsia="zh-CN"/>
        </w:rPr>
        <w:t>总和</w:t>
      </w:r>
      <w:r>
        <w:rPr>
          <w:rFonts w:hint="eastAsia" w:ascii="楷体" w:hAnsi="楷体" w:eastAsia="楷体" w:cs="楷体"/>
          <w:sz w:val="32"/>
          <w:szCs w:val="32"/>
          <w:highlight w:val="none"/>
          <w:lang w:eastAsia="zh-CN"/>
        </w:rPr>
        <w:t>须</w:t>
      </w:r>
      <w:r>
        <w:rPr>
          <w:rFonts w:hint="eastAsia" w:ascii="楷体" w:hAnsi="楷体" w:eastAsia="楷体" w:cs="楷体"/>
          <w:sz w:val="32"/>
          <w:szCs w:val="32"/>
          <w:highlight w:val="none"/>
          <w:lang w:val="en-US" w:eastAsia="zh-CN"/>
        </w:rPr>
        <w:t>大于等于             平方米（向上个位取整）。</w:t>
      </w:r>
    </w:p>
    <w:p>
      <w:pPr>
        <w:numPr>
          <w:ilvl w:val="0"/>
          <w:numId w:val="0"/>
        </w:numPr>
        <w:spacing w:beforeLines="0" w:afterLines="0" w:line="580" w:lineRule="exact"/>
        <w:ind w:firstLine="640" w:firstLineChars="200"/>
        <w:jc w:val="left"/>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四、科研机构指由区科技部门认定，在本区从事</w:t>
      </w:r>
      <w:r>
        <w:rPr>
          <w:rFonts w:hint="eastAsia" w:ascii="黑体" w:hAnsi="黑体" w:eastAsia="黑体" w:cs="黑体"/>
          <w:sz w:val="32"/>
          <w:highlight w:val="none"/>
        </w:rPr>
        <w:t>科学研究活动</w:t>
      </w:r>
      <w:r>
        <w:rPr>
          <w:rFonts w:hint="eastAsia" w:ascii="黑体" w:hAnsi="黑体" w:eastAsia="黑体" w:cs="黑体"/>
          <w:sz w:val="32"/>
          <w:highlight w:val="none"/>
          <w:lang w:val="en-US" w:eastAsia="zh-CN"/>
        </w:rPr>
        <w:t>的事业单位或民办非企业单</w:t>
      </w:r>
      <w:bookmarkStart w:id="0" w:name="_GoBack"/>
      <w:bookmarkEnd w:id="0"/>
      <w:r>
        <w:rPr>
          <w:rFonts w:hint="eastAsia" w:ascii="黑体" w:hAnsi="黑体" w:eastAsia="黑体" w:cs="黑体"/>
          <w:sz w:val="32"/>
          <w:highlight w:val="none"/>
          <w:lang w:val="en-US" w:eastAsia="zh-CN"/>
        </w:rPr>
        <w:t>位。</w:t>
      </w:r>
    </w:p>
    <w:p>
      <w:pPr>
        <w:numPr>
          <w:ilvl w:val="0"/>
          <w:numId w:val="0"/>
        </w:numPr>
        <w:spacing w:beforeLines="0" w:afterLines="0" w:line="580" w:lineRule="exact"/>
        <w:ind w:firstLine="640" w:firstLineChars="200"/>
        <w:jc w:val="left"/>
        <w:rPr>
          <w:rFonts w:hint="eastAsia" w:ascii="黑体" w:hAnsi="黑体" w:eastAsia="黑体" w:cs="黑体"/>
          <w:sz w:val="32"/>
          <w:highlight w:val="none"/>
        </w:rPr>
      </w:pPr>
      <w:r>
        <w:rPr>
          <w:rFonts w:hint="eastAsia" w:ascii="黑体" w:hAnsi="黑体" w:eastAsia="黑体" w:cs="黑体"/>
          <w:sz w:val="32"/>
          <w:highlight w:val="none"/>
          <w:lang w:val="en-US" w:eastAsia="zh-CN"/>
        </w:rPr>
        <w:t>五、</w:t>
      </w:r>
      <w:r>
        <w:rPr>
          <w:rFonts w:hint="eastAsia" w:ascii="黑体" w:hAnsi="黑体" w:eastAsia="黑体" w:cs="黑体"/>
          <w:sz w:val="32"/>
          <w:highlight w:val="none"/>
        </w:rPr>
        <w:t>区属国企的界定</w:t>
      </w:r>
      <w:r>
        <w:rPr>
          <w:rFonts w:hint="eastAsia" w:ascii="黑体" w:hAnsi="黑体" w:eastAsia="黑体" w:cs="黑体"/>
          <w:sz w:val="32"/>
          <w:highlight w:val="none"/>
          <w:lang w:val="en-US" w:eastAsia="zh-CN"/>
        </w:rPr>
        <w:t>标准为“</w:t>
      </w:r>
      <w:r>
        <w:rPr>
          <w:rFonts w:hint="eastAsia" w:ascii="黑体" w:hAnsi="黑体" w:eastAsia="黑体" w:cs="黑体"/>
          <w:sz w:val="32"/>
          <w:highlight w:val="none"/>
        </w:rPr>
        <w:t>申报指南发布的上一月区属国资持股比例超</w:t>
      </w:r>
      <w:r>
        <w:rPr>
          <w:rFonts w:hint="eastAsia" w:ascii="黑体" w:hAnsi="黑体" w:eastAsia="黑体" w:cs="黑体"/>
          <w:sz w:val="32"/>
          <w:highlight w:val="none"/>
          <w:lang w:val="en-US" w:eastAsia="zh-CN"/>
        </w:rPr>
        <w:t>过</w:t>
      </w:r>
      <w:r>
        <w:rPr>
          <w:rFonts w:hint="eastAsia" w:ascii="黑体" w:hAnsi="黑体" w:eastAsia="黑体" w:cs="黑体"/>
          <w:sz w:val="32"/>
          <w:highlight w:val="none"/>
        </w:rPr>
        <w:t>50%</w:t>
      </w:r>
      <w:r>
        <w:rPr>
          <w:rFonts w:hint="eastAsia" w:ascii="黑体" w:hAnsi="黑体" w:eastAsia="黑体" w:cs="黑体"/>
          <w:sz w:val="32"/>
          <w:highlight w:val="none"/>
          <w:lang w:val="en-US" w:eastAsia="zh-CN"/>
        </w:rPr>
        <w:t>”。</w:t>
      </w:r>
    </w:p>
    <w:p>
      <w:pPr>
        <w:numPr>
          <w:ilvl w:val="0"/>
          <w:numId w:val="0"/>
        </w:numPr>
        <w:spacing w:beforeLines="0" w:afterLines="0" w:line="580" w:lineRule="exact"/>
        <w:ind w:firstLine="640" w:firstLineChars="200"/>
        <w:jc w:val="left"/>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六、</w:t>
      </w:r>
      <w:r>
        <w:rPr>
          <w:rFonts w:hint="eastAsia" w:ascii="黑体" w:hAnsi="黑体" w:eastAsia="黑体" w:cs="黑体"/>
          <w:sz w:val="32"/>
          <w:highlight w:val="none"/>
        </w:rPr>
        <w:t>享受南沙企业所得税优惠政策</w:t>
      </w:r>
      <w:r>
        <w:rPr>
          <w:rFonts w:hint="eastAsia" w:ascii="黑体" w:hAnsi="黑体" w:eastAsia="黑体" w:cs="黑体"/>
          <w:sz w:val="32"/>
          <w:highlight w:val="none"/>
          <w:lang w:val="en-US" w:eastAsia="zh-CN"/>
        </w:rPr>
        <w:t>的企业仅指按照《</w:t>
      </w:r>
      <w:r>
        <w:rPr>
          <w:rFonts w:hint="eastAsia" w:ascii="黑体" w:hAnsi="黑体" w:eastAsia="黑体" w:cs="黑体"/>
          <w:sz w:val="32"/>
          <w:highlight w:val="none"/>
        </w:rPr>
        <w:t>财政部 税务总局关于广州南沙企业所得税优惠政策的通知</w:t>
      </w:r>
      <w:r>
        <w:rPr>
          <w:rFonts w:hint="eastAsia" w:ascii="黑体" w:hAnsi="黑体" w:eastAsia="黑体" w:cs="黑体"/>
          <w:sz w:val="32"/>
          <w:highlight w:val="none"/>
          <w:lang w:val="en-US" w:eastAsia="zh-CN"/>
        </w:rPr>
        <w:t>》（</w:t>
      </w:r>
      <w:r>
        <w:rPr>
          <w:rFonts w:hint="eastAsia" w:ascii="黑体" w:hAnsi="黑体" w:eastAsia="黑体" w:cs="黑体"/>
          <w:i w:val="0"/>
          <w:iCs w:val="0"/>
          <w:caps w:val="0"/>
          <w:color w:val="333333"/>
          <w:spacing w:val="0"/>
          <w:sz w:val="32"/>
          <w:szCs w:val="24"/>
          <w:highlight w:val="none"/>
        </w:rPr>
        <w:t>财税〔2022〕40号</w:t>
      </w:r>
      <w:r>
        <w:rPr>
          <w:rFonts w:hint="eastAsia" w:ascii="黑体" w:hAnsi="黑体" w:eastAsia="黑体" w:cs="黑体"/>
          <w:sz w:val="32"/>
          <w:highlight w:val="none"/>
          <w:lang w:val="en-US" w:eastAsia="zh-CN"/>
        </w:rPr>
        <w:t>）规定享受税收优惠政策的企业。</w:t>
      </w:r>
    </w:p>
    <w:p>
      <w:pPr>
        <w:numPr>
          <w:ilvl w:val="0"/>
          <w:numId w:val="0"/>
        </w:numPr>
        <w:spacing w:beforeLines="0" w:afterLines="0" w:line="580" w:lineRule="exact"/>
        <w:ind w:firstLine="640" w:firstLineChars="200"/>
        <w:jc w:val="left"/>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七、“</w:t>
      </w:r>
      <w:r>
        <w:rPr>
          <w:rFonts w:hint="default" w:ascii="黑体" w:hAnsi="黑体" w:eastAsia="黑体" w:cs="黑体"/>
          <w:sz w:val="32"/>
          <w:highlight w:val="none"/>
          <w:lang w:val="en-US" w:eastAsia="zh-CN"/>
        </w:rPr>
        <w:t>与本区签订投资协议（应经管委会或区政府审定）的重点招商引资项目</w:t>
      </w:r>
      <w:r>
        <w:rPr>
          <w:rFonts w:hint="eastAsia" w:ascii="黑体" w:hAnsi="黑体" w:eastAsia="黑体" w:cs="黑体"/>
          <w:sz w:val="32"/>
          <w:highlight w:val="none"/>
          <w:lang w:val="en-US" w:eastAsia="zh-CN"/>
        </w:rPr>
        <w:t>”由区金融局、区住建局、区商务局、区投促局、区发改局、区文广旅局、区工信局、区科技局等行业主管部门认定。</w:t>
      </w:r>
    </w:p>
    <w:p>
      <w:pPr>
        <w:numPr>
          <w:ilvl w:val="0"/>
          <w:numId w:val="0"/>
        </w:numPr>
        <w:spacing w:beforeLines="0" w:afterLines="0" w:line="580" w:lineRule="exact"/>
        <w:ind w:firstLine="640" w:firstLineChars="200"/>
        <w:jc w:val="both"/>
        <w:rPr>
          <w:rFonts w:hint="eastAsia" w:ascii="黑体" w:hAnsi="黑体" w:eastAsia="黑体" w:cs="黑体"/>
          <w:sz w:val="32"/>
          <w:highlight w:val="none"/>
        </w:rPr>
      </w:pPr>
      <w:r>
        <w:rPr>
          <w:rFonts w:hint="eastAsia" w:ascii="黑体" w:hAnsi="黑体" w:eastAsia="黑体" w:cs="黑体"/>
          <w:sz w:val="32"/>
          <w:highlight w:val="none"/>
          <w:lang w:val="en-US" w:eastAsia="zh-CN"/>
        </w:rPr>
        <w:t>八、</w:t>
      </w:r>
      <w:r>
        <w:rPr>
          <w:rFonts w:hint="eastAsia" w:ascii="黑体" w:hAnsi="黑体" w:eastAsia="黑体" w:cs="黑体"/>
          <w:sz w:val="32"/>
          <w:highlight w:val="none"/>
        </w:rPr>
        <w:t>2022年6月6日后</w:t>
      </w:r>
      <w:r>
        <w:rPr>
          <w:rFonts w:hint="eastAsia" w:ascii="黑体" w:hAnsi="黑体" w:eastAsia="黑体" w:cs="黑体"/>
          <w:sz w:val="32"/>
          <w:highlight w:val="none"/>
          <w:lang w:eastAsia="zh-CN"/>
        </w:rPr>
        <w:t>，</w:t>
      </w:r>
      <w:r>
        <w:rPr>
          <w:rFonts w:hint="eastAsia" w:ascii="黑体" w:hAnsi="黑体" w:eastAsia="黑体" w:cs="黑体"/>
          <w:sz w:val="32"/>
          <w:highlight w:val="none"/>
        </w:rPr>
        <w:t>首次</w:t>
      </w:r>
      <w:r>
        <w:rPr>
          <w:rFonts w:hint="eastAsia" w:ascii="黑体" w:hAnsi="黑体" w:eastAsia="黑体" w:cs="黑体"/>
          <w:sz w:val="32"/>
          <w:highlight w:val="none"/>
          <w:lang w:eastAsia="zh-CN"/>
        </w:rPr>
        <w:t>来</w:t>
      </w:r>
      <w:r>
        <w:rPr>
          <w:rFonts w:hint="eastAsia" w:ascii="黑体" w:hAnsi="黑体" w:eastAsia="黑体" w:cs="黑体"/>
          <w:sz w:val="32"/>
          <w:highlight w:val="none"/>
        </w:rPr>
        <w:t>南沙区单位工作</w:t>
      </w:r>
    </w:p>
    <w:p>
      <w:pPr>
        <w:numPr>
          <w:ilvl w:val="0"/>
          <w:numId w:val="0"/>
        </w:numPr>
        <w:spacing w:beforeLines="0" w:afterLines="0" w:line="580" w:lineRule="exact"/>
        <w:ind w:left="0" w:leftChars="0" w:firstLine="640" w:firstLineChars="200"/>
        <w:jc w:val="both"/>
        <w:rPr>
          <w:rFonts w:hint="eastAsia" w:ascii="黑体" w:hAnsi="黑体" w:eastAsia="黑体" w:cs="黑体"/>
          <w:sz w:val="32"/>
          <w:highlight w:val="none"/>
          <w:lang w:val="en-US" w:eastAsia="zh-CN"/>
        </w:rPr>
      </w:pPr>
      <w:r>
        <w:rPr>
          <w:rFonts w:hint="eastAsia" w:ascii="Times New Roman" w:hAnsi="Times New Roman" w:eastAsia="仿宋_GB2312" w:cs="Times New Roman"/>
          <w:sz w:val="32"/>
          <w:szCs w:val="32"/>
          <w:highlight w:val="none"/>
          <w:lang w:eastAsia="zh-CN"/>
        </w:rPr>
        <w:t>申报人</w:t>
      </w:r>
      <w:r>
        <w:rPr>
          <w:rFonts w:hint="eastAsia" w:ascii="Times New Roman" w:hAnsi="Times New Roman" w:eastAsia="仿宋_GB2312" w:cs="Times New Roman"/>
          <w:sz w:val="32"/>
          <w:szCs w:val="32"/>
          <w:highlight w:val="none"/>
          <w:lang w:val="en-US" w:eastAsia="zh-CN"/>
        </w:rPr>
        <w:t>2022年6月5日及以前须未在南沙区缴纳社会保险。</w:t>
      </w:r>
    </w:p>
    <w:p>
      <w:pPr>
        <w:numPr>
          <w:ilvl w:val="0"/>
          <w:numId w:val="0"/>
        </w:numPr>
        <w:spacing w:beforeLines="0" w:afterLines="0" w:line="580" w:lineRule="exact"/>
        <w:ind w:firstLine="640" w:firstLineChars="200"/>
        <w:jc w:val="both"/>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九、“中央、省属、市属驻区单位”中合资企业界定标准为“申报指南发布的上一月中央、广东省、广州市国资持股比例超过</w:t>
      </w:r>
      <w:r>
        <w:rPr>
          <w:rFonts w:hint="default" w:ascii="黑体" w:hAnsi="黑体" w:eastAsia="黑体" w:cs="黑体"/>
          <w:sz w:val="32"/>
          <w:highlight w:val="none"/>
          <w:lang w:val="en-US" w:eastAsia="zh-CN"/>
        </w:rPr>
        <w:t>50%</w:t>
      </w:r>
      <w:r>
        <w:rPr>
          <w:rFonts w:hint="eastAsia" w:ascii="黑体" w:hAnsi="黑体" w:eastAsia="黑体" w:cs="黑体"/>
          <w:sz w:val="32"/>
          <w:highlight w:val="none"/>
          <w:lang w:val="en-US" w:eastAsia="zh-CN"/>
        </w:rPr>
        <w:t>”。</w:t>
      </w:r>
    </w:p>
    <w:p>
      <w:pPr>
        <w:spacing w:beforeLines="0" w:afterLines="0" w:line="580" w:lineRule="exact"/>
        <w:ind w:firstLine="640" w:firstLineChars="200"/>
        <w:jc w:val="left"/>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驻区单位可通过国务院、广东省人民政府或广州市人民政府国有资产监督管理委员会官网查询上级单位是否属于央企、省属企业或市直接监管企业</w:t>
      </w:r>
      <w:r>
        <w:rPr>
          <w:rFonts w:hint="eastAsia" w:ascii="Times New Roman" w:hAnsi="Times New Roman" w:eastAsia="仿宋_GB2312" w:cs="Times New Roman"/>
          <w:sz w:val="32"/>
          <w:szCs w:val="32"/>
          <w:highlight w:val="none"/>
          <w:lang w:eastAsia="zh-CN"/>
        </w:rPr>
        <w:t>。</w:t>
      </w:r>
    </w:p>
    <w:p>
      <w:pPr>
        <w:spacing w:beforeLines="0" w:afterLines="0" w:line="580" w:lineRule="exact"/>
        <w:ind w:firstLine="640" w:firstLineChars="200"/>
        <w:jc w:val="left"/>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十、关于“</w:t>
      </w:r>
      <w:r>
        <w:rPr>
          <w:rFonts w:hint="eastAsia" w:ascii="黑体" w:hAnsi="黑体" w:eastAsia="黑体" w:cs="黑体"/>
          <w:sz w:val="32"/>
          <w:highlight w:val="none"/>
        </w:rPr>
        <w:t>申报指南发布之日的上一个月</w:t>
      </w:r>
      <w:r>
        <w:rPr>
          <w:rFonts w:hint="eastAsia" w:ascii="黑体" w:hAnsi="黑体" w:eastAsia="黑体" w:cs="黑体"/>
          <w:sz w:val="32"/>
          <w:highlight w:val="none"/>
          <w:lang w:val="en-US" w:eastAsia="zh-CN"/>
        </w:rPr>
        <w:t>”的具体说明</w:t>
      </w:r>
    </w:p>
    <w:p>
      <w:pPr>
        <w:numPr>
          <w:ilvl w:val="-1"/>
          <w:numId w:val="0"/>
        </w:numPr>
        <w:tabs>
          <w:tab w:val="left" w:pos="0"/>
        </w:tabs>
        <w:spacing w:beforeLines="0" w:afterLines="0" w:line="580" w:lineRule="exact"/>
        <w:ind w:firstLine="640" w:firstLineChars="200"/>
        <w:jc w:val="left"/>
        <w:rPr>
          <w:rFonts w:hint="eastAsia" w:ascii="黑体" w:hAnsi="黑体" w:eastAsia="黑体" w:cs="黑体"/>
          <w:sz w:val="32"/>
          <w:highlight w:val="none"/>
          <w:lang w:val="en-US" w:eastAsia="zh-CN"/>
        </w:rPr>
      </w:pPr>
      <w:r>
        <w:rPr>
          <w:rFonts w:hint="default" w:ascii="Times New Roman" w:hAnsi="Times New Roman" w:eastAsia="仿宋_GB2312" w:cs="Times New Roman"/>
          <w:sz w:val="32"/>
          <w:szCs w:val="32"/>
          <w:highlight w:val="none"/>
          <w:lang w:val="en-US" w:eastAsia="zh-CN"/>
        </w:rPr>
        <w:t>申报指南于2024年</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月发布，申报人</w:t>
      </w:r>
      <w:r>
        <w:rPr>
          <w:rFonts w:hint="eastAsia" w:ascii="Times New Roman" w:hAnsi="Times New Roman" w:eastAsia="仿宋_GB2312" w:cs="Times New Roman"/>
          <w:sz w:val="32"/>
          <w:szCs w:val="32"/>
          <w:highlight w:val="none"/>
          <w:lang w:val="en-US" w:eastAsia="zh-CN"/>
        </w:rPr>
        <w:t>税款所属期为</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2月的工资薪金所得税款须入库南沙区税务局。</w:t>
      </w:r>
    </w:p>
    <w:p>
      <w:pPr>
        <w:spacing w:beforeLines="0" w:afterLines="0" w:line="580" w:lineRule="exact"/>
        <w:ind w:firstLine="640" w:firstLineChars="200"/>
        <w:jc w:val="left"/>
        <w:rPr>
          <w:rFonts w:hint="default" w:ascii="黑体" w:hAnsi="黑体" w:eastAsia="黑体" w:cs="黑体"/>
          <w:sz w:val="32"/>
          <w:highlight w:val="none"/>
          <w:lang w:val="en-US" w:eastAsia="zh-CN"/>
        </w:rPr>
      </w:pPr>
      <w:r>
        <w:rPr>
          <w:rFonts w:hint="eastAsia" w:ascii="黑体" w:hAnsi="黑体" w:eastAsia="黑体" w:cs="黑体"/>
          <w:sz w:val="32"/>
          <w:highlight w:val="none"/>
          <w:lang w:val="en-US" w:eastAsia="zh-CN"/>
        </w:rPr>
        <w:t>十一、关于“从</w:t>
      </w:r>
      <w:r>
        <w:rPr>
          <w:rFonts w:hint="default" w:ascii="黑体" w:hAnsi="黑体" w:eastAsia="黑体" w:cs="黑体"/>
          <w:sz w:val="32"/>
          <w:highlight w:val="none"/>
          <w:lang w:val="en-US" w:eastAsia="zh-CN"/>
        </w:rPr>
        <w:t>申报指南发布</w:t>
      </w:r>
      <w:r>
        <w:rPr>
          <w:rFonts w:hint="eastAsia" w:ascii="黑体" w:hAnsi="黑体" w:eastAsia="黑体" w:cs="黑体"/>
          <w:sz w:val="32"/>
          <w:highlight w:val="none"/>
          <w:lang w:val="en-US" w:eastAsia="zh-CN"/>
        </w:rPr>
        <w:t>当月</w:t>
      </w:r>
      <w:r>
        <w:rPr>
          <w:rFonts w:hint="default" w:ascii="黑体" w:hAnsi="黑体" w:eastAsia="黑体" w:cs="黑体"/>
          <w:sz w:val="32"/>
          <w:highlight w:val="none"/>
          <w:lang w:val="en-US" w:eastAsia="zh-CN"/>
        </w:rPr>
        <w:t>向前追溯不少于6个月</w:t>
      </w:r>
      <w:r>
        <w:rPr>
          <w:rFonts w:hint="eastAsia" w:ascii="黑体" w:hAnsi="黑体" w:eastAsia="黑体" w:cs="黑体"/>
          <w:sz w:val="32"/>
          <w:highlight w:val="none"/>
          <w:lang w:val="en-US" w:eastAsia="zh-CN"/>
        </w:rPr>
        <w:t>”的具体说明</w:t>
      </w:r>
    </w:p>
    <w:p>
      <w:pPr>
        <w:numPr>
          <w:ilvl w:val="-1"/>
          <w:numId w:val="0"/>
        </w:numPr>
        <w:tabs>
          <w:tab w:val="left" w:pos="0"/>
        </w:tabs>
        <w:spacing w:beforeLines="0" w:afterLines="0" w:line="580" w:lineRule="exact"/>
        <w:ind w:firstLine="640" w:firstLineChars="200"/>
        <w:jc w:val="left"/>
        <w:rPr>
          <w:rFonts w:hint="eastAsia" w:ascii="黑体" w:hAnsi="黑体" w:eastAsia="黑体" w:cs="黑体"/>
          <w:sz w:val="32"/>
          <w:highlight w:val="none"/>
          <w:lang w:val="en-US" w:eastAsia="zh-CN"/>
        </w:rPr>
      </w:pPr>
      <w:r>
        <w:rPr>
          <w:rFonts w:hint="default" w:ascii="Times New Roman" w:hAnsi="Times New Roman" w:eastAsia="仿宋_GB2312" w:cs="Times New Roman"/>
          <w:sz w:val="32"/>
          <w:szCs w:val="32"/>
          <w:highlight w:val="none"/>
          <w:lang w:val="en-US" w:eastAsia="zh-CN"/>
        </w:rPr>
        <w:t>申报指南于2024年</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月发布，申报人至少2023年</w:t>
      </w:r>
      <w:r>
        <w:rPr>
          <w:rFonts w:hint="eastAsia" w:ascii="Times New Roman" w:hAnsi="Times New Roman" w:eastAsia="仿宋_GB2312" w:cs="Times New Roman"/>
          <w:sz w:val="32"/>
          <w:szCs w:val="32"/>
          <w:highlight w:val="none"/>
          <w:lang w:val="en-US" w:eastAsia="zh-CN"/>
        </w:rPr>
        <w:t>9月</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2024年2</w:t>
      </w:r>
      <w:r>
        <w:rPr>
          <w:rFonts w:hint="default" w:ascii="Times New Roman" w:hAnsi="Times New Roman" w:eastAsia="仿宋_GB2312" w:cs="Times New Roman"/>
          <w:sz w:val="32"/>
          <w:szCs w:val="32"/>
          <w:highlight w:val="none"/>
          <w:lang w:val="en-US" w:eastAsia="zh-CN"/>
        </w:rPr>
        <w:t>月期间须在南沙区连续缴纳社会保险。</w:t>
      </w:r>
    </w:p>
    <w:p>
      <w:pPr>
        <w:pageBreakBefore w:val="0"/>
        <w:widowControl w:val="0"/>
        <w:numPr>
          <w:ilvl w:val="0"/>
          <w:numId w:val="0"/>
        </w:numPr>
        <w:tabs>
          <w:tab w:val="left" w:pos="0"/>
        </w:tabs>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仿宋_GB2312" w:eastAsia="仿宋_GB2312" w:cs="仿宋_GB2312"/>
          <w:i w:val="0"/>
          <w:iCs w:val="0"/>
          <w:caps w:val="0"/>
          <w:color w:val="auto"/>
          <w:spacing w:val="0"/>
          <w:sz w:val="32"/>
          <w:szCs w:val="32"/>
          <w:highlight w:val="none"/>
          <w:lang w:eastAsia="zh-CN"/>
        </w:rPr>
      </w:pPr>
      <w:r>
        <w:rPr>
          <w:rFonts w:hint="eastAsia" w:ascii="黑体" w:hAnsi="黑体" w:eastAsia="黑体" w:cs="黑体"/>
          <w:sz w:val="32"/>
          <w:highlight w:val="none"/>
          <w:lang w:val="en-US" w:eastAsia="zh-CN"/>
        </w:rPr>
        <w:t>十二、关于“</w:t>
      </w:r>
      <w:r>
        <w:rPr>
          <w:rFonts w:hint="eastAsia" w:ascii="黑体" w:hAnsi="黑体" w:eastAsia="黑体" w:cs="黑体"/>
          <w:sz w:val="32"/>
          <w:highlight w:val="none"/>
        </w:rPr>
        <w:t>原则上分3年等额发放</w:t>
      </w:r>
      <w:r>
        <w:rPr>
          <w:rFonts w:hint="eastAsia" w:ascii="黑体" w:hAnsi="黑体" w:eastAsia="黑体" w:cs="黑体"/>
          <w:sz w:val="32"/>
          <w:highlight w:val="none"/>
          <w:lang w:val="en-US" w:eastAsia="zh-CN"/>
        </w:rPr>
        <w:t>”的具体说明</w:t>
      </w:r>
    </w:p>
    <w:p>
      <w:pPr>
        <w:pageBreakBefore w:val="0"/>
        <w:widowControl w:val="0"/>
        <w:numPr>
          <w:ilvl w:val="0"/>
          <w:numId w:val="0"/>
        </w:numPr>
        <w:tabs>
          <w:tab w:val="left" w:pos="0"/>
        </w:tabs>
        <w:kinsoku/>
        <w:wordWrap/>
        <w:overflowPunct/>
        <w:topLinePunct w:val="0"/>
        <w:autoSpaceDE/>
        <w:autoSpaceDN/>
        <w:bidi w:val="0"/>
        <w:adjustRightInd/>
        <w:snapToGrid/>
        <w:spacing w:line="570" w:lineRule="exact"/>
        <w:ind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lang w:val="en-US" w:eastAsia="zh-CN"/>
        </w:rPr>
        <w:t>新引进人才生活补贴每年按照本科、硕士、博士学历分别给予</w:t>
      </w:r>
      <w:r>
        <w:rPr>
          <w:rFonts w:hint="eastAsia" w:ascii="仿宋_GB2312" w:hAnsi="仿宋_GB2312" w:eastAsia="仿宋_GB2312" w:cs="仿宋_GB2312"/>
          <w:i w:val="0"/>
          <w:iCs w:val="0"/>
          <w:caps w:val="0"/>
          <w:color w:val="auto"/>
          <w:spacing w:val="0"/>
          <w:sz w:val="32"/>
          <w:szCs w:val="32"/>
          <w:highlight w:val="none"/>
          <w:lang w:val="en-US" w:eastAsia="zh-CN"/>
        </w:rPr>
        <w:t>1万元、2万元、4万元，共</w:t>
      </w:r>
      <w:r>
        <w:rPr>
          <w:rFonts w:hint="eastAsia" w:ascii="仿宋_GB2312" w:hAnsi="仿宋_GB2312" w:eastAsia="仿宋_GB2312" w:cs="仿宋_GB2312"/>
          <w:i w:val="0"/>
          <w:iCs w:val="0"/>
          <w:caps w:val="0"/>
          <w:color w:val="auto"/>
          <w:spacing w:val="0"/>
          <w:sz w:val="32"/>
          <w:szCs w:val="32"/>
          <w:highlight w:val="none"/>
          <w:lang w:val="en-US" w:eastAsia="zh-CN"/>
        </w:rPr>
        <w:t>发放3年。首次申报通过后，申报人须于首次申报的第</w:t>
      </w:r>
      <w:r>
        <w:rPr>
          <w:rFonts w:hint="default" w:ascii="Times New Roman" w:hAnsi="Times New Roman" w:eastAsia="仿宋_GB2312" w:cs="Times New Roman"/>
          <w:i w:val="0"/>
          <w:iCs w:val="0"/>
          <w:caps w:val="0"/>
          <w:color w:val="auto"/>
          <w:spacing w:val="0"/>
          <w:sz w:val="32"/>
          <w:szCs w:val="32"/>
          <w:highlight w:val="none"/>
          <w:lang w:val="en-US" w:eastAsia="zh-CN"/>
        </w:rPr>
        <w:t>2</w:t>
      </w:r>
      <w:r>
        <w:rPr>
          <w:rFonts w:hint="eastAsia" w:ascii="仿宋_GB2312" w:hAnsi="仿宋_GB2312" w:eastAsia="仿宋_GB2312" w:cs="仿宋_GB2312"/>
          <w:i w:val="0"/>
          <w:iCs w:val="0"/>
          <w:caps w:val="0"/>
          <w:color w:val="auto"/>
          <w:spacing w:val="0"/>
          <w:sz w:val="32"/>
          <w:szCs w:val="32"/>
          <w:highlight w:val="none"/>
          <w:lang w:val="en-US" w:eastAsia="zh-CN"/>
        </w:rPr>
        <w:t>、</w:t>
      </w:r>
      <w:r>
        <w:rPr>
          <w:rFonts w:hint="default" w:ascii="Times New Roman" w:hAnsi="Times New Roman" w:eastAsia="仿宋_GB2312" w:cs="Times New Roman"/>
          <w:i w:val="0"/>
          <w:iCs w:val="0"/>
          <w:caps w:val="0"/>
          <w:color w:val="auto"/>
          <w:spacing w:val="0"/>
          <w:sz w:val="32"/>
          <w:szCs w:val="32"/>
          <w:highlight w:val="none"/>
          <w:lang w:val="en-US" w:eastAsia="zh-CN"/>
        </w:rPr>
        <w:t>3</w:t>
      </w:r>
      <w:r>
        <w:rPr>
          <w:rFonts w:hint="eastAsia" w:ascii="仿宋_GB2312" w:hAnsi="仿宋_GB2312" w:eastAsia="仿宋_GB2312" w:cs="仿宋_GB2312"/>
          <w:i w:val="0"/>
          <w:iCs w:val="0"/>
          <w:caps w:val="0"/>
          <w:color w:val="auto"/>
          <w:spacing w:val="0"/>
          <w:sz w:val="32"/>
          <w:szCs w:val="32"/>
          <w:highlight w:val="none"/>
          <w:lang w:val="en-US" w:eastAsia="zh-CN"/>
        </w:rPr>
        <w:t>年提交符合条件的申报材料。</w:t>
      </w:r>
      <w:r>
        <w:rPr>
          <w:rFonts w:hint="eastAsia" w:ascii="仿宋_GB2312" w:hAnsi="仿宋_GB2312" w:eastAsia="仿宋_GB2312" w:cs="仿宋_GB2312"/>
          <w:color w:val="auto"/>
          <w:sz w:val="32"/>
          <w:szCs w:val="32"/>
          <w:highlight w:val="none"/>
        </w:rPr>
        <w:t>未在规定期限内提出</w:t>
      </w:r>
      <w:r>
        <w:rPr>
          <w:rFonts w:hint="eastAsia" w:ascii="仿宋_GB2312" w:hAnsi="仿宋_GB2312" w:eastAsia="仿宋_GB2312" w:cs="仿宋_GB2312"/>
          <w:color w:val="auto"/>
          <w:sz w:val="32"/>
          <w:szCs w:val="32"/>
          <w:highlight w:val="none"/>
          <w:lang w:eastAsia="zh-CN"/>
        </w:rPr>
        <w:t>第</w:t>
      </w: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val="en-US" w:eastAsia="zh-CN"/>
        </w:rPr>
        <w:t>或第三次</w:t>
      </w:r>
      <w:r>
        <w:rPr>
          <w:rFonts w:hint="eastAsia" w:ascii="仿宋_GB2312" w:hAnsi="仿宋_GB2312" w:eastAsia="仿宋_GB2312" w:cs="仿宋_GB2312"/>
          <w:i w:val="0"/>
          <w:iCs w:val="0"/>
          <w:caps w:val="0"/>
          <w:color w:val="auto"/>
          <w:spacing w:val="0"/>
          <w:sz w:val="32"/>
          <w:szCs w:val="32"/>
          <w:highlight w:val="none"/>
          <w:lang w:val="en-US" w:eastAsia="zh-CN"/>
        </w:rPr>
        <w:t>申报</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，视为自动放弃</w:t>
      </w:r>
      <w:r>
        <w:rPr>
          <w:rFonts w:hint="eastAsia" w:ascii="仿宋_GB2312" w:hAnsi="仿宋_GB2312" w:eastAsia="仿宋_GB2312" w:cs="仿宋_GB2312"/>
          <w:b/>
          <w:bCs/>
          <w:color w:val="auto"/>
          <w:sz w:val="32"/>
          <w:szCs w:val="32"/>
          <w:highlight w:val="none"/>
          <w:lang w:eastAsia="zh-CN"/>
        </w:rPr>
        <w:t>剩余补贴</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i w:val="0"/>
          <w:iCs w:val="0"/>
          <w:caps w:val="0"/>
          <w:color w:val="auto"/>
          <w:spacing w:val="0"/>
          <w:sz w:val="32"/>
          <w:szCs w:val="32"/>
          <w:highlight w:val="none"/>
          <w:lang w:val="en-US" w:eastAsia="zh-CN"/>
        </w:rPr>
        <w:t>申报</w:t>
      </w:r>
      <w:r>
        <w:rPr>
          <w:rFonts w:hint="eastAsia" w:ascii="仿宋_GB2312" w:hAnsi="仿宋_GB2312" w:eastAsia="仿宋_GB2312" w:cs="仿宋_GB2312"/>
          <w:color w:val="auto"/>
          <w:sz w:val="32"/>
          <w:szCs w:val="32"/>
          <w:highlight w:val="none"/>
        </w:rPr>
        <w:t>资格。</w:t>
      </w:r>
    </w:p>
    <w:p>
      <w:pPr>
        <w:numPr>
          <w:ilvl w:val="-1"/>
          <w:numId w:val="0"/>
        </w:numPr>
        <w:snapToGrid/>
        <w:spacing w:before="0" w:beforeLines="0" w:after="0" w:afterLines="0" w:line="580" w:lineRule="exact"/>
        <w:ind w:firstLine="640" w:firstLineChars="200"/>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十三、关于“</w:t>
      </w:r>
      <w:r>
        <w:rPr>
          <w:rFonts w:hint="eastAsia" w:ascii="黑体" w:hAnsi="黑体" w:eastAsia="黑体" w:cs="黑体"/>
          <w:sz w:val="32"/>
          <w:highlight w:val="none"/>
        </w:rPr>
        <w:t>人才首次申请前已在本区购房的，可申请一次性发放</w:t>
      </w:r>
      <w:r>
        <w:rPr>
          <w:rFonts w:hint="eastAsia" w:ascii="黑体" w:hAnsi="黑体" w:eastAsia="黑体" w:cs="黑体"/>
          <w:sz w:val="32"/>
          <w:highlight w:val="none"/>
          <w:lang w:val="en-US" w:eastAsia="zh-CN"/>
        </w:rPr>
        <w:t>”的具体说明</w:t>
      </w:r>
    </w:p>
    <w:p>
      <w:pPr>
        <w:numPr>
          <w:ilvl w:val="-1"/>
          <w:numId w:val="0"/>
        </w:numPr>
        <w:snapToGrid/>
        <w:spacing w:before="0" w:beforeLines="0" w:after="0" w:afterLines="0" w:line="580" w:lineRule="exact"/>
        <w:ind w:firstLine="640" w:firstLineChars="200"/>
        <w:rPr>
          <w:rFonts w:hint="eastAsia" w:ascii="WPS灵秀黑" w:hAnsi="WPS灵秀黑" w:eastAsia="WPS灵秀黑" w:cs="WPS灵秀黑"/>
          <w:i w:val="0"/>
          <w:iCs w:val="0"/>
          <w:caps w:val="0"/>
          <w:color w:val="auto"/>
          <w:spacing w:val="0"/>
          <w:sz w:val="32"/>
          <w:szCs w:val="32"/>
          <w:highlight w:val="none"/>
          <w:lang w:eastAsia="zh-CN"/>
        </w:rPr>
      </w:pPr>
      <w:r>
        <w:rPr>
          <w:rFonts w:hint="eastAsia" w:ascii="仿宋_GB2312" w:hAnsi="仿宋_GB2312" w:eastAsia="仿宋_GB2312" w:cs="仿宋_GB2312"/>
          <w:i w:val="0"/>
          <w:iCs w:val="0"/>
          <w:caps w:val="0"/>
          <w:color w:val="auto"/>
          <w:spacing w:val="0"/>
          <w:sz w:val="32"/>
          <w:szCs w:val="32"/>
          <w:highlight w:val="none"/>
          <w:lang w:eastAsia="zh-CN"/>
        </w:rPr>
        <w:t>符合条件的全日制本科、硕士、博士新引进人才若首次申报前已在本区购房的，</w:t>
      </w:r>
      <w:r>
        <w:rPr>
          <w:rFonts w:hint="eastAsia" w:ascii="仿宋_GB2312" w:hAnsi="仿宋_GB2312" w:eastAsia="仿宋_GB2312" w:cs="仿宋_GB2312"/>
          <w:i w:val="0"/>
          <w:iCs w:val="0"/>
          <w:caps w:val="0"/>
          <w:color w:val="auto"/>
          <w:spacing w:val="0"/>
          <w:sz w:val="32"/>
          <w:szCs w:val="32"/>
          <w:highlight w:val="none"/>
          <w:lang w:eastAsia="zh-CN"/>
        </w:rPr>
        <w:t>可于申报指南附件</w:t>
      </w:r>
      <w:r>
        <w:rPr>
          <w:rFonts w:hint="eastAsia" w:ascii="仿宋_GB2312" w:hAnsi="仿宋_GB2312" w:eastAsia="仿宋_GB2312" w:cs="仿宋_GB2312"/>
          <w:i w:val="0"/>
          <w:iCs w:val="0"/>
          <w:caps w:val="0"/>
          <w:color w:val="auto"/>
          <w:spacing w:val="0"/>
          <w:sz w:val="32"/>
          <w:szCs w:val="32"/>
          <w:highlight w:val="none"/>
          <w:lang w:val="en-US" w:eastAsia="zh-CN"/>
        </w:rPr>
        <w:t>1“个人不动产登记信息”栏目填写相关信息，</w:t>
      </w:r>
      <w:r>
        <w:rPr>
          <w:rFonts w:hint="eastAsia" w:ascii="仿宋_GB2312" w:hAnsi="仿宋_GB2312" w:eastAsia="仿宋_GB2312" w:cs="仿宋_GB2312"/>
          <w:i w:val="0"/>
          <w:iCs w:val="0"/>
          <w:caps w:val="0"/>
          <w:color w:val="auto"/>
          <w:spacing w:val="0"/>
          <w:sz w:val="32"/>
          <w:szCs w:val="32"/>
          <w:highlight w:val="none"/>
          <w:lang w:val="en-US" w:eastAsia="zh-CN"/>
        </w:rPr>
        <w:t>经审核通过后可分别一次性领取</w:t>
      </w:r>
      <w:r>
        <w:rPr>
          <w:rFonts w:hint="default" w:ascii="Times New Roman" w:hAnsi="Times New Roman" w:eastAsia="仿宋_GB2312" w:cs="Times New Roman"/>
          <w:i w:val="0"/>
          <w:iCs w:val="0"/>
          <w:caps w:val="0"/>
          <w:color w:val="auto"/>
          <w:spacing w:val="0"/>
          <w:sz w:val="32"/>
          <w:szCs w:val="32"/>
          <w:highlight w:val="none"/>
          <w:lang w:val="en-US" w:eastAsia="zh-CN"/>
        </w:rPr>
        <w:t>3</w:t>
      </w:r>
      <w:r>
        <w:rPr>
          <w:rFonts w:hint="eastAsia" w:ascii="仿宋_GB2312" w:hAnsi="仿宋_GB2312" w:eastAsia="仿宋_GB2312" w:cs="仿宋_GB2312"/>
          <w:i w:val="0"/>
          <w:iCs w:val="0"/>
          <w:caps w:val="0"/>
          <w:color w:val="auto"/>
          <w:spacing w:val="0"/>
          <w:sz w:val="32"/>
          <w:szCs w:val="32"/>
          <w:highlight w:val="none"/>
          <w:lang w:val="en-US" w:eastAsia="zh-CN"/>
        </w:rPr>
        <w:t>、</w:t>
      </w:r>
      <w:r>
        <w:rPr>
          <w:rFonts w:hint="default" w:ascii="Times New Roman" w:hAnsi="Times New Roman" w:eastAsia="仿宋_GB2312" w:cs="Times New Roman"/>
          <w:i w:val="0"/>
          <w:iCs w:val="0"/>
          <w:caps w:val="0"/>
          <w:color w:val="auto"/>
          <w:spacing w:val="0"/>
          <w:sz w:val="32"/>
          <w:szCs w:val="32"/>
          <w:highlight w:val="none"/>
          <w:lang w:val="en-US" w:eastAsia="zh-CN"/>
        </w:rPr>
        <w:t>6</w:t>
      </w:r>
      <w:r>
        <w:rPr>
          <w:rFonts w:hint="eastAsia" w:ascii="仿宋_GB2312" w:hAnsi="仿宋_GB2312" w:eastAsia="仿宋_GB2312" w:cs="仿宋_GB2312"/>
          <w:i w:val="0"/>
          <w:iCs w:val="0"/>
          <w:caps w:val="0"/>
          <w:color w:val="auto"/>
          <w:spacing w:val="0"/>
          <w:sz w:val="32"/>
          <w:szCs w:val="32"/>
          <w:highlight w:val="none"/>
          <w:lang w:val="en-US" w:eastAsia="zh-CN"/>
        </w:rPr>
        <w:t>、</w:t>
      </w:r>
      <w:r>
        <w:rPr>
          <w:rFonts w:hint="default" w:ascii="Times New Roman" w:hAnsi="Times New Roman" w:eastAsia="仿宋_GB2312" w:cs="Times New Roman"/>
          <w:i w:val="0"/>
          <w:iCs w:val="0"/>
          <w:caps w:val="0"/>
          <w:color w:val="auto"/>
          <w:spacing w:val="0"/>
          <w:sz w:val="32"/>
          <w:szCs w:val="32"/>
          <w:highlight w:val="none"/>
          <w:lang w:val="en-US" w:eastAsia="zh-CN"/>
        </w:rPr>
        <w:t>12</w:t>
      </w:r>
      <w:r>
        <w:rPr>
          <w:rFonts w:hint="eastAsia" w:ascii="仿宋_GB2312" w:hAnsi="仿宋_GB2312" w:eastAsia="仿宋_GB2312" w:cs="仿宋_GB2312"/>
          <w:i w:val="0"/>
          <w:iCs w:val="0"/>
          <w:caps w:val="0"/>
          <w:color w:val="auto"/>
          <w:spacing w:val="0"/>
          <w:sz w:val="32"/>
          <w:szCs w:val="32"/>
          <w:highlight w:val="none"/>
          <w:lang w:val="en-US" w:eastAsia="zh-CN"/>
        </w:rPr>
        <w:t>万元（税前）</w:t>
      </w:r>
      <w:r>
        <w:rPr>
          <w:rFonts w:hint="eastAsia" w:ascii="WPS灵秀黑" w:hAnsi="WPS灵秀黑" w:eastAsia="WPS灵秀黑" w:cs="WPS灵秀黑"/>
          <w:i w:val="0"/>
          <w:iCs w:val="0"/>
          <w:caps w:val="0"/>
          <w:color w:val="auto"/>
          <w:spacing w:val="0"/>
          <w:sz w:val="32"/>
          <w:szCs w:val="32"/>
          <w:highlight w:val="none"/>
          <w:lang w:eastAsia="zh-CN"/>
        </w:rPr>
        <w:t>。</w:t>
      </w:r>
    </w:p>
    <w:p>
      <w:pPr>
        <w:numPr>
          <w:ilvl w:val="0"/>
          <w:numId w:val="0"/>
        </w:numPr>
        <w:spacing w:beforeLines="0" w:afterLines="0" w:line="580" w:lineRule="exact"/>
        <w:ind w:firstLine="640" w:firstLineChars="200"/>
        <w:jc w:val="left"/>
        <w:rPr>
          <w:rFonts w:hint="default" w:ascii="黑体" w:hAnsi="黑体" w:eastAsia="黑体" w:cs="黑体"/>
          <w:sz w:val="32"/>
          <w:highlight w:val="none"/>
          <w:lang w:val="en-US" w:eastAsia="zh-CN"/>
        </w:rPr>
      </w:pPr>
      <w:r>
        <w:rPr>
          <w:rFonts w:hint="eastAsia" w:ascii="黑体" w:hAnsi="黑体" w:eastAsia="黑体" w:cs="黑体"/>
          <w:sz w:val="32"/>
          <w:highlight w:val="none"/>
          <w:lang w:val="en-US" w:eastAsia="zh-CN"/>
        </w:rPr>
        <w:t>十四、关于“刑事处罚、行政处罚及其他违法违规”追溯时间的具体说明</w:t>
      </w:r>
    </w:p>
    <w:p>
      <w:pPr>
        <w:numPr>
          <w:ilvl w:val="-1"/>
          <w:numId w:val="0"/>
        </w:numPr>
        <w:snapToGrid/>
        <w:spacing w:before="0" w:beforeLines="0" w:after="0" w:afterLines="0" w:line="580" w:lineRule="exact"/>
        <w:ind w:firstLine="640" w:firstLineChars="200"/>
        <w:rPr>
          <w:rFonts w:hint="default" w:ascii="WPS灵秀黑" w:hAnsi="WPS灵秀黑" w:eastAsia="WPS灵秀黑" w:cs="WPS灵秀黑"/>
          <w:i w:val="0"/>
          <w:iCs w:val="0"/>
          <w:caps w:val="0"/>
          <w:color w:val="auto"/>
          <w:spacing w:val="0"/>
          <w:sz w:val="32"/>
          <w:szCs w:val="32"/>
          <w:highlight w:val="none"/>
          <w:lang w:val="en-US" w:eastAsia="zh-CN"/>
        </w:rPr>
      </w:pPr>
      <w:r>
        <w:rPr>
          <w:rFonts w:hint="eastAsia" w:eastAsia="仿宋_GB2312" w:cs="Times New Roman"/>
          <w:i w:val="0"/>
          <w:iCs w:val="0"/>
          <w:sz w:val="32"/>
          <w:szCs w:val="32"/>
          <w:highlight w:val="none"/>
          <w:lang w:val="en-US" w:eastAsia="zh-CN"/>
        </w:rPr>
        <w:t>刑事处罚追溯“近</w:t>
      </w:r>
      <w:r>
        <w:rPr>
          <w:rFonts w:hint="default" w:ascii="Times New Roman" w:hAnsi="Times New Roman" w:eastAsia="仿宋_GB2312" w:cs="Times New Roman"/>
          <w:i w:val="0"/>
          <w:iCs w:val="0"/>
          <w:sz w:val="32"/>
          <w:szCs w:val="32"/>
          <w:highlight w:val="none"/>
          <w:lang w:val="en-US" w:eastAsia="zh-CN"/>
        </w:rPr>
        <w:t>5</w:t>
      </w:r>
      <w:r>
        <w:rPr>
          <w:rFonts w:hint="eastAsia" w:eastAsia="仿宋_GB2312" w:cs="Times New Roman"/>
          <w:i w:val="0"/>
          <w:iCs w:val="0"/>
          <w:sz w:val="32"/>
          <w:szCs w:val="32"/>
          <w:highlight w:val="none"/>
          <w:lang w:val="en-US" w:eastAsia="zh-CN"/>
        </w:rPr>
        <w:t>年”、行政处罚及其他违法违规追溯“近</w:t>
      </w:r>
      <w:r>
        <w:rPr>
          <w:rFonts w:hint="eastAsia" w:ascii="Times New Roman" w:hAnsi="Times New Roman" w:eastAsia="仿宋_GB2312" w:cs="Times New Roman"/>
          <w:i w:val="0"/>
          <w:iCs w:val="0"/>
          <w:sz w:val="32"/>
          <w:szCs w:val="32"/>
          <w:highlight w:val="none"/>
          <w:lang w:val="en-US" w:eastAsia="zh-CN"/>
        </w:rPr>
        <w:t>1</w:t>
      </w:r>
      <w:r>
        <w:rPr>
          <w:rFonts w:hint="eastAsia" w:eastAsia="仿宋_GB2312" w:cs="Times New Roman"/>
          <w:i w:val="0"/>
          <w:iCs w:val="0"/>
          <w:sz w:val="32"/>
          <w:szCs w:val="32"/>
          <w:highlight w:val="none"/>
          <w:lang w:val="en-US" w:eastAsia="zh-CN"/>
        </w:rPr>
        <w:t>年”，计时起始时间从申报年度的</w:t>
      </w:r>
      <w:r>
        <w:rPr>
          <w:rFonts w:hint="eastAsia" w:ascii="Times New Roman" w:hAnsi="Times New Roman" w:eastAsia="仿宋_GB2312" w:cs="Times New Roman"/>
          <w:i w:val="0"/>
          <w:iCs w:val="0"/>
          <w:sz w:val="32"/>
          <w:szCs w:val="32"/>
          <w:highlight w:val="none"/>
          <w:lang w:val="en-US" w:eastAsia="zh-CN"/>
        </w:rPr>
        <w:t>1月1日</w:t>
      </w:r>
      <w:r>
        <w:rPr>
          <w:rFonts w:hint="eastAsia" w:eastAsia="仿宋_GB2312" w:cs="Times New Roman"/>
          <w:i w:val="0"/>
          <w:iCs w:val="0"/>
          <w:sz w:val="32"/>
          <w:szCs w:val="32"/>
          <w:highlight w:val="none"/>
          <w:lang w:val="en-US" w:eastAsia="zh-CN"/>
        </w:rPr>
        <w:t>向前追溯。</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48FB69-EA17-48E4-84D0-D9DE9C46F16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D1A105B-CAD1-4B52-8FDD-326BC0823F9A}"/>
  </w:font>
  <w:font w:name="方正小标宋简体">
    <w:panose1 w:val="03000509000000000000"/>
    <w:charset w:val="86"/>
    <w:family w:val="auto"/>
    <w:pitch w:val="default"/>
    <w:sig w:usb0="00000001" w:usb1="080E0000" w:usb2="00000000" w:usb3="00000000" w:csb0="00040000" w:csb1="00000000"/>
    <w:embedRegular r:id="rId3" w:fontKey="{C831D434-5BBA-4AAA-BDF8-046DF8BC6B08}"/>
  </w:font>
  <w:font w:name="仿宋_GB2312">
    <w:panose1 w:val="02010609030101010101"/>
    <w:charset w:val="86"/>
    <w:family w:val="auto"/>
    <w:pitch w:val="default"/>
    <w:sig w:usb0="00000001" w:usb1="080E0000" w:usb2="00000000" w:usb3="00000000" w:csb0="00040000" w:csb1="00000000"/>
    <w:embedRegular r:id="rId4" w:fontKey="{1C6995BF-A8DB-4FEC-A748-C013D69652CD}"/>
  </w:font>
  <w:font w:name="楷体">
    <w:panose1 w:val="02010609060101010101"/>
    <w:charset w:val="86"/>
    <w:family w:val="modern"/>
    <w:pitch w:val="default"/>
    <w:sig w:usb0="800002BF" w:usb1="38CF7CFA" w:usb2="00000016" w:usb3="00000000" w:csb0="00040001" w:csb1="00000000"/>
    <w:embedRegular r:id="rId5" w:fontKey="{5D00D646-04AC-4756-8424-495C2F039946}"/>
  </w:font>
  <w:font w:name="WPS灵秀黑">
    <w:panose1 w:val="00000000000000000000"/>
    <w:charset w:val="86"/>
    <w:family w:val="auto"/>
    <w:pitch w:val="default"/>
    <w:sig w:usb0="00000283" w:usb1="180F1C10" w:usb2="00000016" w:usb3="00000000" w:csb0="40040001" w:csb1="C0D60000"/>
    <w:embedRegular r:id="rId6" w:fontKey="{D953D430-6914-44B6-B584-48B2EF8693A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yOGNkNWU1NTBiNzAxYjY5YjBjNjQ5ZDYyNThjYzIifQ=="/>
  </w:docVars>
  <w:rsids>
    <w:rsidRoot w:val="171C7FC8"/>
    <w:rsid w:val="02444E5B"/>
    <w:rsid w:val="02AB1235"/>
    <w:rsid w:val="02C24BF1"/>
    <w:rsid w:val="046D109D"/>
    <w:rsid w:val="065F3D7A"/>
    <w:rsid w:val="075A7395"/>
    <w:rsid w:val="08144141"/>
    <w:rsid w:val="0BAA075E"/>
    <w:rsid w:val="0C8B12C2"/>
    <w:rsid w:val="0D710814"/>
    <w:rsid w:val="10930DC1"/>
    <w:rsid w:val="171C7FC8"/>
    <w:rsid w:val="1B8371BB"/>
    <w:rsid w:val="1CD8551B"/>
    <w:rsid w:val="1F7B4E6B"/>
    <w:rsid w:val="22285372"/>
    <w:rsid w:val="23544D8F"/>
    <w:rsid w:val="24AF0E42"/>
    <w:rsid w:val="26FB1E8F"/>
    <w:rsid w:val="28156B3B"/>
    <w:rsid w:val="29EF03D7"/>
    <w:rsid w:val="2D875AC0"/>
    <w:rsid w:val="2D9C7A7F"/>
    <w:rsid w:val="2E434333"/>
    <w:rsid w:val="2F511653"/>
    <w:rsid w:val="2FCD5490"/>
    <w:rsid w:val="33093B6B"/>
    <w:rsid w:val="351078BA"/>
    <w:rsid w:val="35533053"/>
    <w:rsid w:val="35855502"/>
    <w:rsid w:val="35E01BEA"/>
    <w:rsid w:val="36FA05DD"/>
    <w:rsid w:val="380164C5"/>
    <w:rsid w:val="380671C7"/>
    <w:rsid w:val="39494854"/>
    <w:rsid w:val="39E22A0B"/>
    <w:rsid w:val="3B7F2BBF"/>
    <w:rsid w:val="3CDC1D80"/>
    <w:rsid w:val="3D436353"/>
    <w:rsid w:val="457F13DB"/>
    <w:rsid w:val="46517B39"/>
    <w:rsid w:val="4D334611"/>
    <w:rsid w:val="4D94597C"/>
    <w:rsid w:val="4DD852EF"/>
    <w:rsid w:val="4EB8094F"/>
    <w:rsid w:val="4F6A776F"/>
    <w:rsid w:val="54ED3156"/>
    <w:rsid w:val="5A541E0A"/>
    <w:rsid w:val="5EC575DF"/>
    <w:rsid w:val="66AE30F1"/>
    <w:rsid w:val="671C01C6"/>
    <w:rsid w:val="6959571A"/>
    <w:rsid w:val="69D11ECE"/>
    <w:rsid w:val="6F866623"/>
    <w:rsid w:val="70A22DB5"/>
    <w:rsid w:val="71B45F0F"/>
    <w:rsid w:val="7B742691"/>
    <w:rsid w:val="7BC55225"/>
    <w:rsid w:val="7D76185E"/>
    <w:rsid w:val="7F2E5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2023-12-22T02:34:00Z</dcterms:created>
  <dc:creator>杨惠娟</dc:creator>
  <cp:lastModifiedBy>杰明</cp:lastModifiedBy>
  <cp:lastPrinted>2024-03-07T01:51:00Z</cp:lastPrinted>
  <dcterms:modified xsi:type="dcterms:W3CDTF">2024-03-08T03:24:23Z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514DF4719F994553AB9508EAD79B6F08_13</vt:lpwstr>
  </property>
</Properties>
</file>