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ind w:left="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36"/>
          <w:szCs w:val="36"/>
        </w:rPr>
        <w:t>申请农村土地经营权转入补助指南</w:t>
      </w:r>
    </w:p>
    <w:p>
      <w:pPr>
        <w:keepNext w:val="0"/>
        <w:keepLines w:val="0"/>
        <w:pageBreakBefore w:val="0"/>
        <w:tabs>
          <w:tab w:val="left" w:pos="1800"/>
        </w:tabs>
        <w:kinsoku/>
        <w:wordWrap/>
        <w:overflowPunct/>
        <w:topLinePunct w:val="0"/>
        <w:autoSpaceDE/>
        <w:autoSpaceDN/>
        <w:bidi w:val="0"/>
        <w:adjustRightInd/>
        <w:snapToGrid/>
        <w:spacing w:line="620" w:lineRule="exact"/>
        <w:ind w:left="0"/>
        <w:textAlignment w:val="auto"/>
        <w:rPr>
          <w:rFonts w:hint="default" w:ascii="Times New Roman" w:hAnsi="Times New Roman" w:eastAsia="黑体" w:cs="Times New Roman"/>
          <w:sz w:val="32"/>
          <w:szCs w:val="32"/>
        </w:rPr>
      </w:pPr>
    </w:p>
    <w:p>
      <w:pPr>
        <w:keepNext w:val="0"/>
        <w:keepLines w:val="0"/>
        <w:pageBreakBefore w:val="0"/>
        <w:kinsoku/>
        <w:wordWrap/>
        <w:overflowPunct/>
        <w:topLinePunct w:val="0"/>
        <w:autoSpaceDE/>
        <w:autoSpaceDN/>
        <w:bidi w:val="0"/>
        <w:adjustRightInd/>
        <w:snapToGrid/>
        <w:spacing w:line="620" w:lineRule="exact"/>
        <w:ind w:left="0" w:firstLine="562" w:firstLineChars="200"/>
        <w:textAlignment w:val="auto"/>
        <w:rPr>
          <w:rStyle w:val="11"/>
          <w:rFonts w:hint="eastAsia" w:ascii="宋体" w:hAnsi="宋体" w:eastAsia="宋体" w:cs="宋体"/>
          <w:b/>
          <w:bCs/>
          <w:sz w:val="28"/>
          <w:szCs w:val="28"/>
        </w:rPr>
      </w:pPr>
      <w:r>
        <w:rPr>
          <w:rStyle w:val="11"/>
          <w:rFonts w:hint="eastAsia" w:ascii="宋体" w:hAnsi="宋体" w:eastAsia="宋体" w:cs="宋体"/>
          <w:b/>
          <w:bCs/>
          <w:sz w:val="28"/>
          <w:szCs w:val="28"/>
        </w:rPr>
        <w:t>一、</w:t>
      </w:r>
      <w:r>
        <w:rPr>
          <w:rFonts w:hint="eastAsia" w:ascii="宋体" w:hAnsi="宋体" w:eastAsia="宋体" w:cs="宋体"/>
          <w:b/>
          <w:bCs/>
          <w:sz w:val="28"/>
          <w:szCs w:val="28"/>
        </w:rPr>
        <w:t>政策依据</w:t>
      </w:r>
    </w:p>
    <w:p>
      <w:pPr>
        <w:pStyle w:val="12"/>
        <w:keepNext w:val="0"/>
        <w:keepLines w:val="0"/>
        <w:pageBreakBefore w:val="0"/>
        <w:kinsoku/>
        <w:wordWrap/>
        <w:overflowPunct/>
        <w:autoSpaceDE/>
        <w:autoSpaceDN/>
        <w:bidi w:val="0"/>
        <w:adjustRightInd/>
        <w:snapToGrid/>
        <w:spacing w:line="620" w:lineRule="exact"/>
        <w:ind w:left="0" w:leftChars="0" w:right="0" w:rightChars="0" w:firstLine="640"/>
        <w:textAlignment w:val="auto"/>
        <w:rPr>
          <w:rFonts w:hint="eastAsia" w:ascii="宋体" w:hAnsi="宋体" w:eastAsia="宋体" w:cs="宋体"/>
          <w:sz w:val="28"/>
          <w:szCs w:val="28"/>
        </w:rPr>
      </w:pPr>
      <w:r>
        <w:rPr>
          <w:rFonts w:hint="eastAsia" w:ascii="宋体" w:hAnsi="宋体" w:eastAsia="宋体" w:cs="宋体"/>
          <w:sz w:val="28"/>
          <w:szCs w:val="28"/>
        </w:rPr>
        <w:t>（一）《广州开发区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广州市黄埔区促进乡村振兴高质量发展若干措施》（穗埔府规〔202</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号）；</w:t>
      </w:r>
    </w:p>
    <w:p>
      <w:pPr>
        <w:pStyle w:val="12"/>
        <w:keepNext w:val="0"/>
        <w:keepLines w:val="0"/>
        <w:pageBreakBefore w:val="0"/>
        <w:kinsoku/>
        <w:wordWrap/>
        <w:overflowPunct/>
        <w:topLinePunct w:val="0"/>
        <w:autoSpaceDE/>
        <w:autoSpaceDN/>
        <w:bidi w:val="0"/>
        <w:adjustRightInd/>
        <w:snapToGrid/>
        <w:spacing w:line="620" w:lineRule="exact"/>
        <w:ind w:left="0" w:firstLine="640"/>
        <w:textAlignment w:val="auto"/>
        <w:rPr>
          <w:rFonts w:hint="eastAsia" w:ascii="宋体" w:hAnsi="宋体" w:eastAsia="宋体" w:cs="宋体"/>
          <w:sz w:val="28"/>
          <w:szCs w:val="28"/>
        </w:rPr>
      </w:pPr>
      <w:r>
        <w:rPr>
          <w:rFonts w:hint="eastAsia" w:ascii="宋体" w:hAnsi="宋体" w:eastAsia="宋体" w:cs="宋体"/>
          <w:sz w:val="28"/>
          <w:szCs w:val="28"/>
        </w:rPr>
        <w:t>（二）《广州开发区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广州市黄埔区促进乡村振兴高质量发展若干措施实施细则》（穗埔</w:t>
      </w:r>
      <w:r>
        <w:rPr>
          <w:rFonts w:hint="eastAsia" w:ascii="宋体" w:hAnsi="宋体" w:eastAsia="宋体" w:cs="宋体"/>
          <w:sz w:val="28"/>
          <w:szCs w:val="28"/>
          <w:lang w:val="en-US" w:eastAsia="zh-CN"/>
        </w:rPr>
        <w:t>农</w:t>
      </w:r>
      <w:r>
        <w:rPr>
          <w:rFonts w:hint="eastAsia" w:ascii="宋体" w:hAnsi="宋体" w:eastAsia="宋体" w:cs="宋体"/>
          <w:sz w:val="28"/>
          <w:szCs w:val="28"/>
        </w:rPr>
        <w:t>规</w:t>
      </w:r>
      <w:r>
        <w:rPr>
          <w:rFonts w:hint="eastAsia" w:ascii="宋体" w:hAnsi="宋体" w:eastAsia="宋体" w:cs="宋体"/>
          <w:sz w:val="28"/>
          <w:szCs w:val="28"/>
          <w:lang w:val="en-US" w:eastAsia="zh-CN"/>
        </w:rPr>
        <w:t>字</w:t>
      </w: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号）。</w:t>
      </w:r>
    </w:p>
    <w:p>
      <w:pPr>
        <w:keepNext w:val="0"/>
        <w:keepLines w:val="0"/>
        <w:pageBreakBefore w:val="0"/>
        <w:kinsoku/>
        <w:wordWrap/>
        <w:overflowPunct/>
        <w:topLinePunct w:val="0"/>
        <w:autoSpaceDE/>
        <w:autoSpaceDN/>
        <w:bidi w:val="0"/>
        <w:adjustRightInd/>
        <w:snapToGrid/>
        <w:spacing w:line="620" w:lineRule="exact"/>
        <w:ind w:left="0" w:firstLine="562" w:firstLineChars="200"/>
        <w:textAlignment w:val="auto"/>
        <w:rPr>
          <w:rStyle w:val="11"/>
          <w:rFonts w:hint="eastAsia" w:ascii="宋体" w:hAnsi="宋体" w:eastAsia="宋体" w:cs="宋体"/>
          <w:b/>
          <w:bCs/>
          <w:sz w:val="28"/>
          <w:szCs w:val="28"/>
        </w:rPr>
      </w:pPr>
      <w:r>
        <w:rPr>
          <w:rStyle w:val="11"/>
          <w:rFonts w:hint="eastAsia" w:ascii="宋体" w:hAnsi="宋体" w:eastAsia="宋体" w:cs="宋体"/>
          <w:b/>
          <w:bCs/>
          <w:sz w:val="28"/>
          <w:szCs w:val="28"/>
        </w:rPr>
        <w:t>二、申请条件</w:t>
      </w:r>
    </w:p>
    <w:p>
      <w:pPr>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color w:val="auto"/>
          <w:sz w:val="28"/>
          <w:szCs w:val="28"/>
        </w:rPr>
      </w:pPr>
      <w:r>
        <w:rPr>
          <w:rFonts w:hint="default" w:ascii="宋体" w:hAnsi="宋体" w:eastAsia="宋体" w:cs="宋体"/>
          <w:kern w:val="0"/>
          <w:sz w:val="28"/>
          <w:szCs w:val="28"/>
        </w:rPr>
        <w:t>在广州开发区、广州市黄埔区及其受托管理和下辖园区（以下简称“本区”）范围内，有健全财务制度、</w:t>
      </w:r>
      <w:r>
        <w:rPr>
          <w:rFonts w:hint="default" w:ascii="宋体" w:hAnsi="宋体" w:eastAsia="宋体" w:cs="宋体"/>
          <w:kern w:val="0"/>
          <w:sz w:val="28"/>
          <w:szCs w:val="28"/>
          <w:lang w:val="en-US" w:eastAsia="zh-CN"/>
        </w:rPr>
        <w:t>具有相应资质</w:t>
      </w:r>
      <w:r>
        <w:rPr>
          <w:rFonts w:hint="default" w:ascii="宋体" w:hAnsi="宋体" w:eastAsia="宋体" w:cs="宋体"/>
          <w:kern w:val="0"/>
          <w:sz w:val="28"/>
          <w:szCs w:val="28"/>
        </w:rPr>
        <w:t>、实行独立核算、符合信用管理相关规定的</w:t>
      </w:r>
      <w:r>
        <w:rPr>
          <w:rFonts w:hint="eastAsia" w:ascii="宋体" w:hAnsi="宋体" w:eastAsia="宋体" w:cs="宋体"/>
          <w:color w:val="auto"/>
          <w:sz w:val="28"/>
          <w:szCs w:val="28"/>
          <w:lang w:val="en-US" w:eastAsia="zh-CN"/>
        </w:rPr>
        <w:t>农业经营主体</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同时符合以下条件：</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1.通过区农村集体“三资云”平台与本区1个或若干个农村集体</w:t>
      </w:r>
      <w:r>
        <w:rPr>
          <w:rFonts w:hint="eastAsia" w:ascii="宋体" w:hAnsi="宋体" w:cs="宋体"/>
          <w:color w:val="auto"/>
          <w:kern w:val="2"/>
          <w:sz w:val="28"/>
          <w:szCs w:val="28"/>
          <w:u w:val="none"/>
          <w:lang w:val="en-US" w:eastAsia="zh-CN" w:bidi="ar"/>
        </w:rPr>
        <w:t>经济组织</w:t>
      </w:r>
      <w:r>
        <w:rPr>
          <w:rFonts w:hint="default" w:ascii="宋体" w:hAnsi="宋体" w:eastAsia="宋体" w:cs="宋体"/>
          <w:color w:val="auto"/>
          <w:kern w:val="2"/>
          <w:sz w:val="28"/>
          <w:szCs w:val="28"/>
          <w:lang w:val="en-US" w:eastAsia="zh-CN" w:bidi="ar-SA"/>
        </w:rPr>
        <w:t>（包括经联社</w:t>
      </w:r>
      <w:r>
        <w:rPr>
          <w:rFonts w:hint="eastAsia" w:ascii="宋体" w:hAnsi="宋体" w:cs="宋体"/>
          <w:color w:val="auto"/>
          <w:kern w:val="2"/>
          <w:sz w:val="28"/>
          <w:szCs w:val="28"/>
          <w:lang w:val="en-US" w:eastAsia="zh-CN" w:bidi="ar-SA"/>
        </w:rPr>
        <w:t>、</w:t>
      </w:r>
      <w:r>
        <w:rPr>
          <w:rFonts w:hint="default" w:ascii="宋体" w:hAnsi="宋体" w:eastAsia="宋体" w:cs="宋体"/>
          <w:color w:val="auto"/>
          <w:kern w:val="2"/>
          <w:sz w:val="28"/>
          <w:szCs w:val="28"/>
          <w:lang w:val="en-US" w:eastAsia="zh-CN" w:bidi="ar-SA"/>
        </w:rPr>
        <w:t>经济社）</w:t>
      </w:r>
      <w:r>
        <w:rPr>
          <w:rFonts w:hint="eastAsia" w:ascii="宋体" w:hAnsi="宋体" w:eastAsia="宋体" w:cs="宋体"/>
          <w:color w:val="auto"/>
          <w:kern w:val="2"/>
          <w:sz w:val="28"/>
          <w:szCs w:val="28"/>
          <w:u w:val="none"/>
          <w:lang w:val="en-US" w:eastAsia="zh-CN" w:bidi="ar"/>
        </w:rPr>
        <w:t>连片转入耕地（含鱼塘、园地）、林地经营权；</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2.单次连片转入土地面积在50亩以上；</w:t>
      </w:r>
    </w:p>
    <w:p>
      <w:pPr>
        <w:keepNext w:val="0"/>
        <w:keepLines w:val="0"/>
        <w:pageBreakBefore w:val="0"/>
        <w:widowControl w:val="0"/>
        <w:kinsoku/>
        <w:wordWrap/>
        <w:overflowPunct/>
        <w:topLinePunct w:val="0"/>
        <w:autoSpaceDE/>
        <w:autoSpaceDN/>
        <w:bidi w:val="0"/>
        <w:snapToGrid w:val="0"/>
        <w:spacing w:line="560" w:lineRule="exact"/>
        <w:ind w:firstLine="560" w:firstLineChars="200"/>
        <w:textAlignment w:val="auto"/>
        <w:rPr>
          <w:rFonts w:hint="eastAsia" w:ascii="宋体" w:hAnsi="宋体" w:eastAsia="宋体" w:cs="宋体"/>
          <w:color w:val="auto"/>
          <w:kern w:val="2"/>
          <w:sz w:val="28"/>
          <w:szCs w:val="28"/>
          <w:u w:val="none"/>
          <w:lang w:val="en-US" w:eastAsia="zh-CN" w:bidi="ar"/>
        </w:rPr>
      </w:pPr>
      <w:r>
        <w:rPr>
          <w:rFonts w:hint="eastAsia" w:ascii="宋体" w:hAnsi="宋体" w:eastAsia="宋体" w:cs="宋体"/>
          <w:color w:val="auto"/>
          <w:kern w:val="2"/>
          <w:sz w:val="28"/>
          <w:szCs w:val="28"/>
          <w:u w:val="none"/>
          <w:lang w:val="en-US" w:eastAsia="zh-CN" w:bidi="ar"/>
        </w:rPr>
        <w:t>3.流转合同在《若干措施》有效期内签订且生效，流转期限在5年以上；</w:t>
      </w:r>
    </w:p>
    <w:p>
      <w:pPr>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u w:val="none"/>
          <w:lang w:val="en-US" w:eastAsia="zh-CN" w:bidi="ar"/>
        </w:rPr>
        <w:t>4.土地经营权流转期间，转入方按照用途管制要求和种植引导政策合理使用农用地，不得进行违法建设或弃耕撂荒。</w:t>
      </w:r>
    </w:p>
    <w:p>
      <w:pPr>
        <w:keepNext w:val="0"/>
        <w:keepLines w:val="0"/>
        <w:pageBreakBefore w:val="0"/>
        <w:kinsoku/>
        <w:wordWrap/>
        <w:overflowPunct/>
        <w:topLinePunct w:val="0"/>
        <w:autoSpaceDE/>
        <w:autoSpaceDN/>
        <w:bidi w:val="0"/>
        <w:adjustRightInd/>
        <w:snapToGrid/>
        <w:spacing w:line="620" w:lineRule="exact"/>
        <w:ind w:left="0"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备注：</w:t>
      </w:r>
      <w:r>
        <w:rPr>
          <w:rFonts w:hint="eastAsia" w:ascii="宋体" w:hAnsi="宋体" w:eastAsia="宋体" w:cs="宋体"/>
          <w:b w:val="0"/>
          <w:bCs w:val="0"/>
          <w:color w:val="auto"/>
          <w:sz w:val="28"/>
          <w:szCs w:val="28"/>
          <w:lang w:val="en-US" w:eastAsia="zh-CN"/>
        </w:rPr>
        <w:t>1.</w:t>
      </w:r>
      <w:r>
        <w:rPr>
          <w:rFonts w:hint="eastAsia" w:ascii="宋体" w:hAnsi="宋体" w:eastAsia="宋体" w:cs="宋体"/>
          <w:color w:val="auto"/>
          <w:sz w:val="28"/>
          <w:szCs w:val="28"/>
        </w:rPr>
        <w:t>农村土地经营权</w:t>
      </w:r>
      <w:r>
        <w:rPr>
          <w:rFonts w:hint="eastAsia" w:ascii="宋体" w:hAnsi="宋体" w:eastAsia="宋体" w:cs="宋体"/>
          <w:color w:val="auto"/>
          <w:sz w:val="28"/>
          <w:szCs w:val="28"/>
          <w:lang w:val="en-US" w:eastAsia="zh-CN"/>
        </w:rPr>
        <w:t>转入</w:t>
      </w:r>
      <w:r>
        <w:rPr>
          <w:rFonts w:hint="eastAsia" w:ascii="宋体" w:hAnsi="宋体" w:eastAsia="宋体" w:cs="宋体"/>
          <w:color w:val="auto"/>
          <w:sz w:val="28"/>
          <w:szCs w:val="28"/>
        </w:rPr>
        <w:t>补助</w:t>
      </w:r>
      <w:r>
        <w:rPr>
          <w:rFonts w:hint="eastAsia" w:ascii="宋体" w:hAnsi="宋体" w:eastAsia="宋体" w:cs="宋体"/>
          <w:color w:val="auto"/>
          <w:sz w:val="28"/>
          <w:szCs w:val="28"/>
          <w:lang w:val="en-US" w:eastAsia="zh-CN"/>
        </w:rPr>
        <w:t>须与</w:t>
      </w:r>
      <w:r>
        <w:rPr>
          <w:rFonts w:hint="eastAsia" w:ascii="宋体" w:hAnsi="宋体" w:eastAsia="宋体" w:cs="宋体"/>
          <w:color w:val="auto"/>
          <w:sz w:val="28"/>
          <w:szCs w:val="28"/>
        </w:rPr>
        <w:t>农村土地经营权转</w:t>
      </w:r>
      <w:r>
        <w:rPr>
          <w:rFonts w:hint="eastAsia" w:ascii="宋体" w:hAnsi="宋体" w:eastAsia="宋体" w:cs="宋体"/>
          <w:color w:val="auto"/>
          <w:sz w:val="28"/>
          <w:szCs w:val="28"/>
          <w:lang w:val="en-US" w:eastAsia="zh-CN"/>
        </w:rPr>
        <w:t>出</w:t>
      </w:r>
      <w:r>
        <w:rPr>
          <w:rFonts w:hint="eastAsia" w:ascii="宋体" w:hAnsi="宋体" w:eastAsia="宋体" w:cs="宋体"/>
          <w:color w:val="auto"/>
          <w:sz w:val="28"/>
          <w:szCs w:val="28"/>
        </w:rPr>
        <w:t>补助</w:t>
      </w:r>
      <w:r>
        <w:rPr>
          <w:rFonts w:hint="eastAsia" w:ascii="宋体" w:hAnsi="宋体" w:eastAsia="宋体" w:cs="宋体"/>
          <w:color w:val="auto"/>
          <w:sz w:val="28"/>
          <w:szCs w:val="28"/>
          <w:lang w:val="en-US" w:eastAsia="zh-CN"/>
        </w:rPr>
        <w:t>及</w:t>
      </w:r>
      <w:r>
        <w:rPr>
          <w:rFonts w:hint="eastAsia" w:ascii="宋体" w:hAnsi="宋体" w:eastAsia="宋体" w:cs="宋体"/>
          <w:color w:val="auto"/>
          <w:sz w:val="28"/>
          <w:szCs w:val="28"/>
        </w:rPr>
        <w:t>农村土地经营权流转</w:t>
      </w:r>
      <w:r>
        <w:rPr>
          <w:rFonts w:hint="eastAsia" w:ascii="宋体" w:hAnsi="宋体" w:eastAsia="宋体" w:cs="宋体"/>
          <w:color w:val="auto"/>
          <w:sz w:val="28"/>
          <w:szCs w:val="28"/>
          <w:lang w:val="en-US" w:eastAsia="zh-CN"/>
        </w:rPr>
        <w:t>扶持同时提出申请；</w:t>
      </w:r>
    </w:p>
    <w:p>
      <w:pPr>
        <w:pStyle w:val="2"/>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2.农村土地经营权转入补助由农业经营主体申报，审核通过后，补助资金划入农业经营主体银行账户；</w:t>
      </w:r>
    </w:p>
    <w:p>
      <w:pPr>
        <w:pStyle w:val="3"/>
        <w:keepNext w:val="0"/>
        <w:keepLines w:val="0"/>
        <w:pageBreakBefore w:val="0"/>
        <w:widowControl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color w:val="auto"/>
          <w:kern w:val="2"/>
          <w:sz w:val="28"/>
          <w:szCs w:val="28"/>
          <w:lang w:val="en-US" w:eastAsia="zh-CN" w:bidi="ar"/>
        </w:rPr>
        <w:t>3.</w:t>
      </w:r>
      <w:r>
        <w:rPr>
          <w:rFonts w:hint="default" w:ascii="宋体" w:hAnsi="宋体" w:eastAsia="宋体" w:cs="宋体"/>
          <w:color w:val="auto"/>
          <w:kern w:val="2"/>
          <w:sz w:val="28"/>
          <w:szCs w:val="28"/>
          <w:lang w:val="en-US" w:eastAsia="zh-CN" w:bidi="ar-SA"/>
        </w:rPr>
        <w:t>2021年3月29日至2023年12月31日流转的符合《广州市黄埔区、广州开发区、广州高新区现代农业发展实施办法》（穗埔农规字〔2021〕1号）（以下简称《现代农业发展实施办法》）第二条农村土地流转补贴的项目，按照《现代农业发展实施办法》的补贴标准兑现，补贴期限最长至2026年3月28日</w:t>
      </w:r>
      <w:r>
        <w:rPr>
          <w:rFonts w:hint="eastAsia" w:ascii="宋体" w:hAnsi="宋体" w:eastAsia="宋体" w:cs="宋体"/>
          <w:color w:val="auto"/>
          <w:kern w:val="2"/>
          <w:sz w:val="28"/>
          <w:szCs w:val="28"/>
          <w:lang w:val="en-US" w:eastAsia="zh-CN" w:bidi="ar-SA"/>
        </w:rPr>
        <w:t>；2024年1月1日起流转的符合《若干措施》第二条农村土地流转补贴的项目，按照《若干措施》的补贴标准兑现，补贴期限最长至2026年12月31日。</w:t>
      </w:r>
    </w:p>
    <w:p>
      <w:pPr>
        <w:pStyle w:val="13"/>
        <w:keepNext w:val="0"/>
        <w:keepLines w:val="0"/>
        <w:pageBreakBefore w:val="0"/>
        <w:kinsoku/>
        <w:wordWrap/>
        <w:overflowPunct/>
        <w:topLinePunct w:val="0"/>
        <w:autoSpaceDE/>
        <w:autoSpaceDN/>
        <w:bidi w:val="0"/>
        <w:adjustRightInd/>
        <w:snapToGrid/>
        <w:spacing w:line="620" w:lineRule="exact"/>
        <w:ind w:left="0" w:firstLine="562" w:firstLineChars="200"/>
        <w:jc w:val="left"/>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sz w:val="28"/>
          <w:szCs w:val="28"/>
        </w:rPr>
        <w:t>三、申请时间</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“政策兑现”窗口定期集中受理，具体时间以“政策兑现”窗口通知为准。集中受理事项以当批次规定的最后收件日作为正式收件日期，逾期不申请的视同自动放弃。</w:t>
      </w:r>
    </w:p>
    <w:p>
      <w:pPr>
        <w:pStyle w:val="13"/>
        <w:keepNext w:val="0"/>
        <w:keepLines w:val="0"/>
        <w:pageBreakBefore w:val="0"/>
        <w:numPr>
          <w:ilvl w:val="0"/>
          <w:numId w:val="1"/>
        </w:numPr>
        <w:kinsoku/>
        <w:wordWrap/>
        <w:overflowPunct/>
        <w:topLinePunct w:val="0"/>
        <w:autoSpaceDE/>
        <w:autoSpaceDN/>
        <w:bidi w:val="0"/>
        <w:adjustRightInd/>
        <w:snapToGrid/>
        <w:spacing w:line="620" w:lineRule="exact"/>
        <w:ind w:left="0" w:firstLine="562" w:firstLineChars="200"/>
        <w:jc w:val="left"/>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资助标准</w:t>
      </w:r>
    </w:p>
    <w:p>
      <w:pPr>
        <w:keepNext w:val="0"/>
        <w:keepLines w:val="0"/>
        <w:pageBreakBefore w:val="0"/>
        <w:tabs>
          <w:tab w:val="left" w:pos="2940"/>
        </w:tabs>
        <w:kinsoku/>
        <w:wordWrap/>
        <w:overflowPunct/>
        <w:topLinePunct w:val="0"/>
        <w:autoSpaceDE/>
        <w:autoSpaceDN/>
        <w:bidi w:val="0"/>
        <w:adjustRightInd/>
        <w:snapToGrid/>
        <w:spacing w:line="620" w:lineRule="exact"/>
        <w:ind w:left="0" w:firstLine="560" w:firstLineChars="200"/>
        <w:jc w:val="left"/>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rPr>
        <w:t>农村土地经营权转入补助资金按年度进行发放</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具体标准如下：</w:t>
      </w:r>
    </w:p>
    <w:p>
      <w:pPr>
        <w:keepNext w:val="0"/>
        <w:keepLines w:val="0"/>
        <w:pageBreakBefore w:val="0"/>
        <w:numPr>
          <w:ilvl w:val="0"/>
          <w:numId w:val="0"/>
        </w:numPr>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1.</w:t>
      </w:r>
      <w:r>
        <w:rPr>
          <w:rFonts w:hint="eastAsia" w:ascii="宋体" w:hAnsi="宋体" w:eastAsia="宋体" w:cs="宋体"/>
          <w:color w:val="auto"/>
          <w:sz w:val="28"/>
          <w:szCs w:val="28"/>
          <w:shd w:val="clear" w:color="auto" w:fill="FFFFFF"/>
        </w:rPr>
        <w:t>连片流转耕地</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含</w:t>
      </w:r>
      <w:r>
        <w:rPr>
          <w:rFonts w:hint="eastAsia" w:ascii="宋体" w:hAnsi="宋体" w:eastAsia="宋体" w:cs="宋体"/>
          <w:color w:val="auto"/>
          <w:sz w:val="28"/>
          <w:szCs w:val="28"/>
          <w:shd w:val="clear" w:color="auto" w:fill="FFFFFF"/>
        </w:rPr>
        <w:t>园地、鱼塘</w:t>
      </w:r>
      <w:r>
        <w:rPr>
          <w:rFonts w:hint="eastAsia" w:ascii="宋体" w:hAnsi="宋体" w:cs="宋体"/>
          <w:color w:val="auto"/>
          <w:sz w:val="28"/>
          <w:szCs w:val="28"/>
          <w:shd w:val="clear" w:color="auto" w:fill="FFFFFF"/>
          <w:lang w:eastAsia="zh-CN"/>
        </w:rPr>
        <w:t>）</w:t>
      </w:r>
      <w:r>
        <w:rPr>
          <w:rFonts w:hint="eastAsia" w:ascii="宋体" w:hAnsi="宋体" w:cs="宋体"/>
          <w:color w:val="auto"/>
          <w:sz w:val="28"/>
          <w:szCs w:val="28"/>
          <w:shd w:val="clear" w:color="auto" w:fill="FFFFFF"/>
          <w:lang w:val="en-US" w:eastAsia="zh-CN"/>
        </w:rPr>
        <w:t>的</w:t>
      </w:r>
      <w:r>
        <w:rPr>
          <w:rFonts w:hint="eastAsia" w:ascii="宋体" w:hAnsi="宋体" w:eastAsia="宋体" w:cs="宋体"/>
          <w:color w:val="auto"/>
          <w:sz w:val="28"/>
          <w:szCs w:val="28"/>
          <w:shd w:val="clear" w:color="auto" w:fill="FFFFFF"/>
        </w:rPr>
        <w:t>，每年每亩补助</w:t>
      </w:r>
      <w:r>
        <w:rPr>
          <w:rFonts w:hint="eastAsia" w:ascii="宋体" w:hAnsi="宋体" w:eastAsia="宋体" w:cs="宋体"/>
          <w:color w:val="auto"/>
          <w:sz w:val="28"/>
          <w:szCs w:val="28"/>
          <w:shd w:val="clear" w:color="auto" w:fill="FFFFFF"/>
          <w:lang w:val="en-US" w:eastAsia="zh-CN"/>
        </w:rPr>
        <w:t>5</w:t>
      </w:r>
      <w:r>
        <w:rPr>
          <w:rFonts w:hint="eastAsia" w:ascii="宋体" w:hAnsi="宋体" w:eastAsia="宋体" w:cs="宋体"/>
          <w:color w:val="auto"/>
          <w:sz w:val="28"/>
          <w:szCs w:val="28"/>
          <w:shd w:val="clear" w:color="auto" w:fill="FFFFFF"/>
        </w:rPr>
        <w:t>00元；</w:t>
      </w:r>
    </w:p>
    <w:p>
      <w:pPr>
        <w:keepNext w:val="0"/>
        <w:keepLines w:val="0"/>
        <w:pageBreakBefore w:val="0"/>
        <w:numPr>
          <w:ilvl w:val="0"/>
          <w:numId w:val="0"/>
        </w:numPr>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rPr>
        <w:t>连片流转林地的，每年每亩补助100元，。</w:t>
      </w:r>
    </w:p>
    <w:p>
      <w:pPr>
        <w:pStyle w:val="3"/>
        <w:keepNext w:val="0"/>
        <w:keepLines w:val="0"/>
        <w:pageBreakBefore w:val="0"/>
        <w:kinsoku/>
        <w:wordWrap/>
        <w:overflowPunct/>
        <w:topLinePunct w:val="0"/>
        <w:autoSpaceDE/>
        <w:autoSpaceDN/>
        <w:bidi w:val="0"/>
        <w:adjustRightInd/>
        <w:snapToGrid/>
        <w:spacing w:line="620" w:lineRule="exact"/>
        <w:ind w:left="0"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五、申报材料</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以下申请材料一式两份，用A4纸打印，在办理申请审批时提供，除《广州开发区政策兑现事项材料清单》外，其他申请材料需在黄埔兑现通—政策兑现综合服务平台中扫描上传：</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1.《广州开发区政策兑现事项材料清单》（该清单在黄埔兑现通—政策兑现综合服务平台预审通过后系统自动生成，请自行打印,并在提交纸质材料时一并提交，经办人签名）；</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2.《农村土地经营权集中连片流转补贴申请表》</w:t>
      </w:r>
      <w:r>
        <w:rPr>
          <w:rFonts w:hint="eastAsia" w:ascii="宋体" w:hAnsi="宋体" w:eastAsia="宋体" w:cs="宋体"/>
          <w:b w:val="0"/>
          <w:bCs w:val="0"/>
          <w:color w:val="auto"/>
          <w:sz w:val="28"/>
          <w:szCs w:val="28"/>
        </w:rPr>
        <w:t>（</w:t>
      </w:r>
      <w:r>
        <w:rPr>
          <w:rFonts w:hint="eastAsia" w:ascii="宋体" w:hAnsi="宋体" w:eastAsia="宋体" w:cs="宋体"/>
          <w:b/>
          <w:bCs/>
          <w:color w:val="auto"/>
          <w:sz w:val="28"/>
          <w:szCs w:val="28"/>
        </w:rPr>
        <w:t>原件</w:t>
      </w:r>
      <w:r>
        <w:rPr>
          <w:rFonts w:hint="eastAsia" w:ascii="宋体" w:hAnsi="宋体" w:eastAsia="宋体" w:cs="宋体"/>
          <w:b w:val="0"/>
          <w:bCs w:val="0"/>
          <w:color w:val="auto"/>
          <w:sz w:val="28"/>
          <w:szCs w:val="28"/>
        </w:rPr>
        <w:t>，申请单位法定（授权）代表人签名并加盖公章）；</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color w:val="auto"/>
          <w:sz w:val="28"/>
          <w:szCs w:val="28"/>
        </w:rPr>
        <w:t>3.</w:t>
      </w:r>
      <w:r>
        <w:rPr>
          <w:rFonts w:hint="eastAsia" w:ascii="宋体" w:hAnsi="宋体" w:eastAsia="宋体" w:cs="宋体"/>
          <w:kern w:val="0"/>
          <w:sz w:val="28"/>
          <w:szCs w:val="28"/>
        </w:rPr>
        <w:t>在本区正常生产经营活动</w:t>
      </w:r>
      <w:r>
        <w:rPr>
          <w:rFonts w:hint="eastAsia" w:ascii="宋体" w:hAnsi="宋体" w:eastAsia="宋体" w:cs="宋体"/>
          <w:b w:val="0"/>
          <w:bCs w:val="0"/>
          <w:color w:val="auto"/>
          <w:sz w:val="28"/>
          <w:szCs w:val="28"/>
        </w:rPr>
        <w:t>的有关材料：</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1）一证一码营业执照（复印件并加盖单位公章；若相关工商信息有变更的必须提交工商变更核准通知书，复印件并加盖单位公章）；</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2）正常缴纳税费的证明材料（扶持年度的完税证明或者涉税征信证明，加盖单位公章）；</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eastAsia="zh-CN"/>
        </w:rPr>
        <w:t>（</w:t>
      </w:r>
      <w:r>
        <w:rPr>
          <w:rFonts w:hint="eastAsia" w:ascii="宋体" w:hAnsi="宋体" w:eastAsia="宋体" w:cs="宋体"/>
          <w:b w:val="0"/>
          <w:bCs w:val="0"/>
          <w:color w:val="auto"/>
          <w:sz w:val="28"/>
          <w:szCs w:val="28"/>
        </w:rPr>
        <w:t>3）扶持年度的“调查单位基本情况表”和“财务状况表”（进入国家统计局一套表系统下载打印并加盖单位公章）。</w:t>
      </w:r>
    </w:p>
    <w:p>
      <w:pPr>
        <w:pStyle w:val="16"/>
        <w:keepNext w:val="0"/>
        <w:keepLines w:val="0"/>
        <w:pageBreakBefore w:val="0"/>
        <w:widowControl/>
        <w:suppressLineNumbers w:val="0"/>
        <w:kinsoku/>
        <w:wordWrap/>
        <w:overflowPunct/>
        <w:topLinePunct w:val="0"/>
        <w:autoSpaceDE/>
        <w:autoSpaceDN/>
        <w:bidi w:val="0"/>
        <w:adjustRightInd/>
        <w:snapToGrid/>
        <w:spacing w:afterAutospacing="0" w:line="480" w:lineRule="exact"/>
        <w:ind w:left="0" w:firstLine="420"/>
        <w:textAlignment w:val="auto"/>
        <w:rPr>
          <w:rFonts w:hint="eastAsia" w:ascii="宋体" w:hAnsi="宋体" w:eastAsia="宋体" w:cs="宋体"/>
          <w:b w:val="0"/>
          <w:bCs w:val="0"/>
          <w:color w:val="auto"/>
          <w:sz w:val="28"/>
          <w:szCs w:val="28"/>
        </w:rPr>
      </w:pPr>
      <w:r>
        <w:rPr>
          <w:rFonts w:hint="eastAsia" w:cs="宋体"/>
          <w:color w:val="auto"/>
          <w:kern w:val="0"/>
          <w:sz w:val="28"/>
          <w:szCs w:val="28"/>
          <w:lang w:val="en-US" w:eastAsia="zh-CN"/>
        </w:rPr>
        <w:t>备注：农户（个人）无需提交本项材料，只需提交</w:t>
      </w:r>
      <w:r>
        <w:rPr>
          <w:rFonts w:hint="eastAsia" w:ascii="宋体" w:hAnsi="宋体" w:eastAsia="宋体" w:cs="宋体"/>
          <w:color w:val="auto"/>
          <w:kern w:val="0"/>
          <w:sz w:val="28"/>
          <w:szCs w:val="28"/>
        </w:rPr>
        <w:t>个人身份证（复印件，亲笔签名</w:t>
      </w:r>
      <w:r>
        <w:rPr>
          <w:rFonts w:hint="eastAsia" w:cs="宋体"/>
          <w:color w:val="auto"/>
          <w:kern w:val="0"/>
          <w:sz w:val="28"/>
          <w:szCs w:val="28"/>
          <w:lang w:val="en-US" w:eastAsia="zh-CN"/>
        </w:rPr>
        <w:t>及</w:t>
      </w:r>
      <w:r>
        <w:rPr>
          <w:rFonts w:hint="eastAsia" w:ascii="宋体" w:hAnsi="宋体" w:eastAsia="宋体" w:cs="宋体"/>
          <w:color w:val="auto"/>
          <w:kern w:val="0"/>
          <w:sz w:val="28"/>
          <w:szCs w:val="28"/>
        </w:rPr>
        <w:t>摁手印）</w:t>
      </w:r>
      <w:r>
        <w:rPr>
          <w:rFonts w:hint="eastAsia" w:cs="宋体"/>
          <w:color w:val="auto"/>
          <w:kern w:val="0"/>
          <w:sz w:val="28"/>
          <w:szCs w:val="28"/>
          <w:lang w:eastAsia="zh-CN"/>
        </w:rPr>
        <w:t>。</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w:t>
      </w:r>
      <w:r>
        <w:rPr>
          <w:rFonts w:hint="eastAsia" w:ascii="宋体" w:hAnsi="宋体" w:eastAsia="宋体" w:cs="宋体"/>
          <w:b w:val="0"/>
          <w:bCs w:val="0"/>
          <w:color w:val="auto"/>
          <w:sz w:val="28"/>
          <w:szCs w:val="28"/>
        </w:rPr>
        <w:t>土地流转合同</w:t>
      </w:r>
      <w:r>
        <w:rPr>
          <w:rFonts w:hint="eastAsia" w:ascii="宋体" w:hAnsi="宋体" w:eastAsia="宋体" w:cs="宋体"/>
          <w:b w:val="0"/>
          <w:bCs w:val="0"/>
          <w:color w:val="auto"/>
          <w:sz w:val="28"/>
          <w:szCs w:val="28"/>
          <w:lang w:val="en-US" w:eastAsia="zh-CN"/>
        </w:rPr>
        <w:t>（</w:t>
      </w:r>
      <w:r>
        <w:rPr>
          <w:rFonts w:hint="eastAsia" w:ascii="宋体" w:hAnsi="宋体" w:eastAsia="宋体" w:cs="宋体"/>
          <w:b w:val="0"/>
          <w:bCs w:val="0"/>
          <w:color w:val="auto"/>
          <w:sz w:val="28"/>
          <w:szCs w:val="28"/>
        </w:rPr>
        <w:t>复印件并加盖公章）。</w:t>
      </w:r>
    </w:p>
    <w:p>
      <w:pPr>
        <w:pStyle w:val="13"/>
        <w:keepNext w:val="0"/>
        <w:keepLines w:val="0"/>
        <w:pageBreakBefore w:val="0"/>
        <w:kinsoku/>
        <w:wordWrap/>
        <w:overflowPunct/>
        <w:topLinePunct w:val="0"/>
        <w:autoSpaceDE/>
        <w:autoSpaceDN/>
        <w:bidi w:val="0"/>
        <w:adjustRightInd/>
        <w:snapToGrid/>
        <w:spacing w:line="620" w:lineRule="exact"/>
        <w:ind w:left="0" w:firstLine="562" w:firstLineChars="200"/>
        <w:jc w:val="left"/>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实质审核通过后，登录黄埔兑现通—政策兑现综合服务平台在线办理资金拨付申请材料：</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jc w:val="left"/>
        <w:textAlignment w:val="auto"/>
        <w:rPr>
          <w:rFonts w:hint="eastAsia" w:ascii="宋体" w:hAnsi="宋体" w:eastAsia="宋体" w:cs="宋体"/>
          <w:bCs/>
          <w:color w:val="auto"/>
          <w:sz w:val="28"/>
          <w:szCs w:val="28"/>
        </w:rPr>
      </w:pPr>
      <w:r>
        <w:rPr>
          <w:rFonts w:hint="eastAsia" w:ascii="宋体" w:hAnsi="宋体" w:eastAsia="宋体" w:cs="宋体"/>
          <w:color w:val="auto"/>
          <w:sz w:val="28"/>
          <w:szCs w:val="28"/>
        </w:rPr>
        <w:t>1.《收款确认函》，需加盖单位公章并扫描上传</w:t>
      </w:r>
      <w:r>
        <w:rPr>
          <w:rFonts w:hint="eastAsia" w:ascii="宋体" w:hAnsi="宋体" w:eastAsia="宋体" w:cs="宋体"/>
          <w:b/>
          <w:color w:val="auto"/>
          <w:sz w:val="28"/>
          <w:szCs w:val="28"/>
        </w:rPr>
        <w:t>原件的彩色扫描件</w:t>
      </w:r>
      <w:r>
        <w:rPr>
          <w:rFonts w:hint="eastAsia" w:ascii="宋体" w:hAnsi="宋体" w:eastAsia="宋体" w:cs="宋体"/>
          <w:bCs/>
          <w:color w:val="auto"/>
          <w:sz w:val="28"/>
          <w:szCs w:val="28"/>
        </w:rPr>
        <w:t>。</w:t>
      </w:r>
      <w:r>
        <w:rPr>
          <w:rFonts w:hint="eastAsia" w:ascii="宋体" w:hAnsi="宋体" w:eastAsia="宋体" w:cs="宋体"/>
          <w:color w:val="auto"/>
          <w:sz w:val="28"/>
          <w:szCs w:val="28"/>
        </w:rPr>
        <w:t>上传《收款确认函》之前，</w:t>
      </w:r>
      <w:r>
        <w:rPr>
          <w:rFonts w:hint="eastAsia" w:ascii="宋体" w:hAnsi="宋体" w:eastAsia="宋体" w:cs="宋体"/>
          <w:b/>
          <w:color w:val="auto"/>
          <w:sz w:val="28"/>
          <w:szCs w:val="28"/>
        </w:rPr>
        <w:t>请务必确认系统中的单位名称、人员姓名及银行账户等信息准确无误</w:t>
      </w:r>
      <w:r>
        <w:rPr>
          <w:rFonts w:hint="eastAsia" w:ascii="宋体" w:hAnsi="宋体" w:eastAsia="宋体" w:cs="宋体"/>
          <w:bCs/>
          <w:color w:val="auto"/>
          <w:sz w:val="28"/>
          <w:szCs w:val="28"/>
        </w:rPr>
        <w:t>）。</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2.若单位信息有变更的，需及时修改系统资料信息，并上传</w:t>
      </w:r>
      <w:r>
        <w:rPr>
          <w:rFonts w:hint="eastAsia" w:ascii="宋体" w:hAnsi="宋体" w:eastAsia="宋体" w:cs="宋体"/>
          <w:color w:val="auto"/>
          <w:sz w:val="28"/>
          <w:szCs w:val="28"/>
          <w:lang w:val="en-US" w:eastAsia="zh-CN"/>
        </w:rPr>
        <w:t>变更后的</w:t>
      </w:r>
      <w:r>
        <w:rPr>
          <w:rFonts w:hint="eastAsia" w:ascii="宋体" w:hAnsi="宋体" w:eastAsia="宋体" w:cs="宋体"/>
          <w:color w:val="auto"/>
          <w:sz w:val="28"/>
          <w:szCs w:val="28"/>
        </w:rPr>
        <w:t>营业执照或农村集体经济组织登记证、</w:t>
      </w:r>
      <w:r>
        <w:rPr>
          <w:rFonts w:hint="eastAsia" w:ascii="宋体" w:hAnsi="宋体" w:eastAsia="宋体" w:cs="宋体"/>
          <w:bCs/>
          <w:color w:val="auto"/>
          <w:sz w:val="28"/>
          <w:szCs w:val="28"/>
        </w:rPr>
        <w:t>银行基本户《开户许可证》</w:t>
      </w:r>
      <w:r>
        <w:rPr>
          <w:rFonts w:hint="eastAsia" w:ascii="宋体" w:hAnsi="宋体" w:eastAsia="宋体" w:cs="宋体"/>
          <w:color w:val="auto"/>
          <w:sz w:val="28"/>
          <w:szCs w:val="28"/>
        </w:rPr>
        <w:t>（或已加盖单位公章及财务章的基本存款账户信息表）</w:t>
      </w:r>
      <w:r>
        <w:rPr>
          <w:rFonts w:hint="eastAsia" w:ascii="宋体" w:hAnsi="宋体" w:eastAsia="宋体" w:cs="宋体"/>
          <w:b/>
          <w:color w:val="auto"/>
          <w:sz w:val="28"/>
          <w:szCs w:val="28"/>
        </w:rPr>
        <w:t>。</w:t>
      </w:r>
    </w:p>
    <w:p>
      <w:pPr>
        <w:keepNext w:val="0"/>
        <w:keepLines w:val="0"/>
        <w:pageBreakBefore w:val="0"/>
        <w:kinsoku/>
        <w:wordWrap/>
        <w:overflowPunct/>
        <w:topLinePunct w:val="0"/>
        <w:autoSpaceDE/>
        <w:autoSpaceDN/>
        <w:bidi w:val="0"/>
        <w:adjustRightInd/>
        <w:snapToGrid/>
        <w:spacing w:line="620" w:lineRule="exact"/>
        <w:ind w:left="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六、受理部门</w:t>
      </w:r>
    </w:p>
    <w:p>
      <w:pPr>
        <w:pStyle w:val="14"/>
        <w:keepNext w:val="0"/>
        <w:keepLines w:val="0"/>
        <w:pageBreakBefore w:val="0"/>
        <w:kinsoku/>
        <w:wordWrap/>
        <w:overflowPunct/>
        <w:topLinePunct w:val="0"/>
        <w:autoSpaceDE/>
        <w:autoSpaceDN/>
        <w:bidi w:val="0"/>
        <w:adjustRightInd/>
        <w:snapToGrid/>
        <w:spacing w:line="620" w:lineRule="exact"/>
        <w:ind w:left="0" w:firstLine="640"/>
        <w:textAlignment w:val="auto"/>
        <w:rPr>
          <w:rFonts w:hint="eastAsia" w:ascii="宋体" w:hAnsi="宋体" w:eastAsia="宋体" w:cs="宋体"/>
          <w:sz w:val="28"/>
          <w:szCs w:val="28"/>
        </w:rPr>
      </w:pPr>
      <w:r>
        <w:rPr>
          <w:rFonts w:hint="eastAsia" w:ascii="宋体" w:hAnsi="宋体" w:eastAsia="宋体" w:cs="宋体"/>
          <w:sz w:val="28"/>
          <w:szCs w:val="28"/>
        </w:rPr>
        <w:t>广州开发区政策研究室“政策兑现”窗口（窗口地址：广州市黄埔区香雪三路3号广州开发区政务服务中心3楼C区349号窗口）</w:t>
      </w:r>
    </w:p>
    <w:p>
      <w:pPr>
        <w:pStyle w:val="14"/>
        <w:keepNext w:val="0"/>
        <w:keepLines w:val="0"/>
        <w:pageBreakBefore w:val="0"/>
        <w:kinsoku/>
        <w:wordWrap/>
        <w:overflowPunct/>
        <w:topLinePunct w:val="0"/>
        <w:autoSpaceDE/>
        <w:autoSpaceDN/>
        <w:bidi w:val="0"/>
        <w:adjustRightInd/>
        <w:snapToGrid/>
        <w:spacing w:line="620" w:lineRule="exact"/>
        <w:ind w:left="0" w:firstLine="640"/>
        <w:jc w:val="left"/>
        <w:textAlignment w:val="auto"/>
        <w:rPr>
          <w:rFonts w:hint="eastAsia" w:ascii="宋体" w:hAnsi="宋体" w:eastAsia="宋体" w:cs="宋体"/>
          <w:sz w:val="28"/>
          <w:szCs w:val="28"/>
        </w:rPr>
      </w:pPr>
      <w:r>
        <w:rPr>
          <w:rFonts w:hint="eastAsia" w:ascii="宋体" w:hAnsi="宋体" w:eastAsia="宋体" w:cs="宋体"/>
          <w:sz w:val="28"/>
          <w:szCs w:val="28"/>
        </w:rPr>
        <w:t>联系电话：82114062      邮箱：</w:t>
      </w:r>
      <w:r>
        <w:rPr>
          <w:rStyle w:val="15"/>
          <w:rFonts w:hint="eastAsia" w:ascii="宋体" w:hAnsi="宋体" w:eastAsia="宋体" w:cs="宋体"/>
          <w:color w:val="auto"/>
          <w:sz w:val="28"/>
          <w:szCs w:val="28"/>
          <w:u w:val="none"/>
        </w:rPr>
        <w:t>zcdx@gdd.gov.cn</w:t>
      </w:r>
    </w:p>
    <w:p>
      <w:pPr>
        <w:keepNext w:val="0"/>
        <w:keepLines w:val="0"/>
        <w:pageBreakBefore w:val="0"/>
        <w:kinsoku/>
        <w:wordWrap/>
        <w:overflowPunct/>
        <w:topLinePunct w:val="0"/>
        <w:autoSpaceDE/>
        <w:autoSpaceDN/>
        <w:bidi w:val="0"/>
        <w:adjustRightInd/>
        <w:snapToGrid/>
        <w:spacing w:line="620" w:lineRule="exact"/>
        <w:ind w:left="0"/>
        <w:textAlignment w:val="auto"/>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b/>
          <w:bCs/>
          <w:sz w:val="28"/>
          <w:szCs w:val="28"/>
        </w:rPr>
        <w:t>七、业务主管部门</w:t>
      </w:r>
    </w:p>
    <w:p>
      <w:pPr>
        <w:keepNext w:val="0"/>
        <w:keepLines w:val="0"/>
        <w:pageBreakBefore w:val="0"/>
        <w:kinsoku/>
        <w:wordWrap/>
        <w:overflowPunct/>
        <w:topLinePunct w:val="0"/>
        <w:autoSpaceDE/>
        <w:autoSpaceDN/>
        <w:bidi w:val="0"/>
        <w:adjustRightInd/>
        <w:snapToGrid/>
        <w:spacing w:line="620" w:lineRule="exact"/>
        <w:ind w:left="0"/>
        <w:textAlignment w:val="auto"/>
        <w:rPr>
          <w:rFonts w:hint="eastAsia" w:ascii="宋体" w:hAnsi="宋体" w:eastAsia="宋体" w:cs="宋体"/>
          <w:sz w:val="28"/>
          <w:szCs w:val="28"/>
        </w:rPr>
      </w:pPr>
      <w:r>
        <w:rPr>
          <w:rFonts w:hint="eastAsia" w:ascii="宋体" w:hAnsi="宋体" w:eastAsia="宋体" w:cs="宋体"/>
          <w:sz w:val="28"/>
          <w:szCs w:val="28"/>
        </w:rPr>
        <w:t xml:space="preserve">    广州市黄埔区农业农村局</w:t>
      </w:r>
    </w:p>
    <w:p>
      <w:pPr>
        <w:keepNext w:val="0"/>
        <w:keepLines w:val="0"/>
        <w:pageBreakBefore w:val="0"/>
        <w:kinsoku/>
        <w:wordWrap/>
        <w:overflowPunct/>
        <w:topLinePunct w:val="0"/>
        <w:autoSpaceDE/>
        <w:autoSpaceDN/>
        <w:bidi w:val="0"/>
        <w:adjustRightInd/>
        <w:snapToGrid/>
        <w:spacing w:line="620" w:lineRule="exact"/>
        <w:ind w:left="0"/>
        <w:textAlignment w:val="auto"/>
        <w:rPr>
          <w:rFonts w:hint="eastAsia" w:ascii="宋体" w:hAnsi="宋体" w:eastAsia="宋体" w:cs="宋体"/>
          <w:sz w:val="28"/>
          <w:szCs w:val="28"/>
        </w:rPr>
      </w:pPr>
      <w:r>
        <w:rPr>
          <w:rFonts w:hint="eastAsia" w:ascii="宋体" w:hAnsi="宋体" w:eastAsia="宋体" w:cs="宋体"/>
          <w:sz w:val="28"/>
          <w:szCs w:val="28"/>
        </w:rPr>
        <w:t xml:space="preserve">    联系电话：82116852（农村经营管理科）</w:t>
      </w:r>
    </w:p>
    <w:p>
      <w:pPr>
        <w:keepNext w:val="0"/>
        <w:keepLines w:val="0"/>
        <w:pageBreakBefore w:val="0"/>
        <w:kinsoku/>
        <w:wordWrap/>
        <w:overflowPunct/>
        <w:topLinePunct w:val="0"/>
        <w:autoSpaceDE/>
        <w:autoSpaceDN/>
        <w:bidi w:val="0"/>
        <w:adjustRightInd/>
        <w:snapToGrid/>
        <w:spacing w:line="620" w:lineRule="exact"/>
        <w:ind w:lef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八、受理时间</w:t>
      </w:r>
    </w:p>
    <w:p>
      <w:pPr>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周一至周五：上午：9:00-12:00     下午：1:00-5:00</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（国家法定节假日按有关规定另行执行）</w:t>
      </w:r>
    </w:p>
    <w:p>
      <w:pPr>
        <w:pStyle w:val="13"/>
        <w:keepNext w:val="0"/>
        <w:keepLines w:val="0"/>
        <w:pageBreakBefore w:val="0"/>
        <w:kinsoku/>
        <w:wordWrap/>
        <w:overflowPunct/>
        <w:topLinePunct w:val="0"/>
        <w:autoSpaceDE/>
        <w:autoSpaceDN/>
        <w:bidi w:val="0"/>
        <w:adjustRightInd/>
        <w:snapToGrid/>
        <w:spacing w:line="620" w:lineRule="exact"/>
        <w:ind w:left="0"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九、办理时限</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21个工作日（形式审核时限：</w:t>
      </w:r>
      <w:r>
        <w:rPr>
          <w:rFonts w:hint="eastAsia" w:ascii="宋体" w:hAnsi="宋体" w:cs="宋体"/>
          <w:sz w:val="28"/>
          <w:szCs w:val="28"/>
          <w:lang w:val="en-US" w:eastAsia="zh-CN"/>
        </w:rPr>
        <w:t>2</w:t>
      </w:r>
      <w:r>
        <w:rPr>
          <w:rFonts w:hint="eastAsia" w:ascii="宋体" w:hAnsi="宋体" w:eastAsia="宋体" w:cs="宋体"/>
          <w:sz w:val="28"/>
          <w:szCs w:val="28"/>
        </w:rPr>
        <w:t>个工作日；实质审核时限：</w:t>
      </w:r>
      <w:r>
        <w:rPr>
          <w:rFonts w:hint="eastAsia" w:ascii="宋体" w:hAnsi="宋体" w:cs="宋体"/>
          <w:sz w:val="28"/>
          <w:szCs w:val="28"/>
          <w:lang w:val="en-US" w:eastAsia="zh-CN"/>
        </w:rPr>
        <w:t>10</w:t>
      </w:r>
      <w:r>
        <w:rPr>
          <w:rFonts w:hint="eastAsia" w:ascii="宋体" w:hAnsi="宋体" w:eastAsia="宋体" w:cs="宋体"/>
          <w:sz w:val="28"/>
          <w:szCs w:val="28"/>
        </w:rPr>
        <w:t>个工作日；资金拨付时限：5+4个工作日）</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jc w:val="left"/>
        <w:textAlignment w:val="auto"/>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eastAsia="宋体" w:cs="宋体"/>
          <w:sz w:val="28"/>
          <w:szCs w:val="28"/>
        </w:rPr>
        <w:t>以上办理时限扣除法定节假日、公休日；扣除组织专家评审论证、公示所需的时间以及与上级部门业务信息系统等区外部门的业务信息系统核实所需的时间；其他需要扣除时限的特殊情况。</w:t>
      </w:r>
      <w:r>
        <w:rPr>
          <w:rFonts w:hint="eastAsia" w:ascii="宋体" w:hAnsi="宋体" w:cs="宋体"/>
          <w:sz w:val="28"/>
          <w:szCs w:val="28"/>
          <w:lang w:eastAsia="zh-CN"/>
        </w:rPr>
        <w:t>）</w:t>
      </w:r>
    </w:p>
    <w:p>
      <w:pPr>
        <w:pStyle w:val="3"/>
        <w:keepNext w:val="0"/>
        <w:keepLines w:val="0"/>
        <w:pageBreakBefore w:val="0"/>
        <w:kinsoku/>
        <w:wordWrap/>
        <w:overflowPunct/>
        <w:topLinePunct w:val="0"/>
        <w:autoSpaceDE/>
        <w:autoSpaceDN/>
        <w:bidi w:val="0"/>
        <w:adjustRightInd/>
        <w:snapToGrid/>
        <w:spacing w:line="620" w:lineRule="exact"/>
        <w:ind w:left="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十、办理流程</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申请人登录黄埔兑现通—政策兑现综合服务平台（http://zcdx.gdd.gov.cn），按照办事指南要求申请事项预审。预审通过后，带齐纸质材料到“政策兑现”窗口递交，正式提出申请；“政策兑现”窗口按照办事指南要求予以收件。</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（二）区政策研究室对申请材料进行形式审核，形式审核通过即正式受理后，转业务主管部门进行实质审核；对于形式审核未通过或需要补正申请材料的，2个</w:t>
      </w:r>
      <w:r>
        <w:rPr>
          <w:rFonts w:hint="eastAsia" w:ascii="宋体" w:hAnsi="宋体" w:cs="宋体"/>
          <w:sz w:val="28"/>
          <w:szCs w:val="28"/>
          <w:lang w:val="en-US" w:eastAsia="zh-CN"/>
        </w:rPr>
        <w:t>工作</w:t>
      </w:r>
      <w:r>
        <w:rPr>
          <w:rFonts w:hint="eastAsia" w:ascii="宋体" w:hAnsi="宋体" w:eastAsia="宋体" w:cs="宋体"/>
          <w:sz w:val="28"/>
          <w:szCs w:val="28"/>
        </w:rPr>
        <w:t>日内通知申请人。</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（三）业务主管部门实质审核后，进行为期 5 个工作日的公示，公示无异议后作出审核决定。</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（四）实质审核通过的，申请人登录黄埔兑现通—政策兑现综合服务平台在线办理资金拨付手续。</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（五）业务主管部门办理资金核拨手续。</w:t>
      </w:r>
    </w:p>
    <w:p>
      <w:pPr>
        <w:pStyle w:val="13"/>
        <w:keepNext w:val="0"/>
        <w:keepLines w:val="0"/>
        <w:pageBreakBefore w:val="0"/>
        <w:kinsoku/>
        <w:wordWrap/>
        <w:overflowPunct/>
        <w:topLinePunct w:val="0"/>
        <w:autoSpaceDE/>
        <w:autoSpaceDN/>
        <w:bidi w:val="0"/>
        <w:adjustRightInd/>
        <w:snapToGrid/>
        <w:spacing w:line="620" w:lineRule="exact"/>
        <w:ind w:lef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（六）区财政国库集中支付中心办理资金拨付手续。</w:t>
      </w:r>
      <w:bookmarkStart w:id="0" w:name="_GoBack"/>
      <w:bookmarkEnd w:id="0"/>
    </w:p>
    <w:p>
      <w:pPr>
        <w:keepNext w:val="0"/>
        <w:keepLines w:val="0"/>
        <w:pageBreakBefore w:val="0"/>
        <w:kinsoku/>
        <w:wordWrap/>
        <w:overflowPunct/>
        <w:topLinePunct w:val="0"/>
        <w:autoSpaceDE/>
        <w:autoSpaceDN/>
        <w:bidi w:val="0"/>
        <w:adjustRightInd/>
        <w:snapToGrid/>
        <w:spacing w:line="620" w:lineRule="exact"/>
        <w:ind w:left="0"/>
        <w:textAlignment w:val="auto"/>
        <w:rPr>
          <w:rFonts w:hint="eastAsia" w:ascii="宋体" w:hAnsi="宋体" w:eastAsia="宋体" w:cs="宋体"/>
          <w:sz w:val="28"/>
          <w:szCs w:val="28"/>
        </w:rPr>
      </w:pPr>
    </w:p>
    <w:sectPr>
      <w:footerReference r:id="rId3" w:type="default"/>
      <w:pgSz w:w="11906" w:h="16838"/>
      <w:pgMar w:top="2041" w:right="141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52F0C"/>
    <w:multiLevelType w:val="singleLevel"/>
    <w:tmpl w:val="C5052F0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MjkxYjkyZTEyZDg2NWVhZjM1NzYxYWFhMDNlODMifQ=="/>
  </w:docVars>
  <w:rsids>
    <w:rsidRoot w:val="4C711AAA"/>
    <w:rsid w:val="01B068A0"/>
    <w:rsid w:val="02DC2156"/>
    <w:rsid w:val="030B0FA8"/>
    <w:rsid w:val="08614263"/>
    <w:rsid w:val="0A805782"/>
    <w:rsid w:val="11A6405B"/>
    <w:rsid w:val="121B5DC6"/>
    <w:rsid w:val="14EA0E8A"/>
    <w:rsid w:val="169A0B19"/>
    <w:rsid w:val="16B4783F"/>
    <w:rsid w:val="16BA4105"/>
    <w:rsid w:val="18357155"/>
    <w:rsid w:val="199D7519"/>
    <w:rsid w:val="1F4D782C"/>
    <w:rsid w:val="1F9105A9"/>
    <w:rsid w:val="2134605F"/>
    <w:rsid w:val="22A073F1"/>
    <w:rsid w:val="24CB7EF7"/>
    <w:rsid w:val="250D7C0B"/>
    <w:rsid w:val="25290DD3"/>
    <w:rsid w:val="285E0D94"/>
    <w:rsid w:val="2B585F6F"/>
    <w:rsid w:val="2BA611ED"/>
    <w:rsid w:val="2FA06136"/>
    <w:rsid w:val="2FA23C5C"/>
    <w:rsid w:val="302F1268"/>
    <w:rsid w:val="31347881"/>
    <w:rsid w:val="318850D4"/>
    <w:rsid w:val="31DD1F67"/>
    <w:rsid w:val="32D33460"/>
    <w:rsid w:val="36920FCF"/>
    <w:rsid w:val="38064FA4"/>
    <w:rsid w:val="39810D86"/>
    <w:rsid w:val="3A3B06DF"/>
    <w:rsid w:val="3BC92476"/>
    <w:rsid w:val="3CBB45AF"/>
    <w:rsid w:val="3F07232A"/>
    <w:rsid w:val="41D62B6E"/>
    <w:rsid w:val="446F7A2D"/>
    <w:rsid w:val="45EB3AAF"/>
    <w:rsid w:val="46045F5D"/>
    <w:rsid w:val="4C711AAA"/>
    <w:rsid w:val="4F9547EC"/>
    <w:rsid w:val="52B4142D"/>
    <w:rsid w:val="543547EF"/>
    <w:rsid w:val="5DD861E7"/>
    <w:rsid w:val="606F4BE5"/>
    <w:rsid w:val="61E97F9F"/>
    <w:rsid w:val="68664B20"/>
    <w:rsid w:val="6A1B17CF"/>
    <w:rsid w:val="762A1882"/>
    <w:rsid w:val="77903967"/>
    <w:rsid w:val="7B31720F"/>
    <w:rsid w:val="7C3D05FE"/>
    <w:rsid w:val="7E676924"/>
    <w:rsid w:val="7F170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1"/>
    <w:next w:val="3"/>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Calibri" w:hAnsi="Calibri" w:eastAsia="仿宋_GB2312" w:cs="Calibri"/>
      <w:kern w:val="2"/>
      <w:sz w:val="32"/>
      <w:szCs w:val="20"/>
      <w:lang w:val="en-US" w:eastAsia="zh-CN" w:bidi="ar"/>
    </w:rPr>
  </w:style>
  <w:style w:type="paragraph" w:styleId="3">
    <w:name w:val="Body Text"/>
    <w:basedOn w:val="1"/>
    <w:next w:val="4"/>
    <w:qFormat/>
    <w:uiPriority w:val="99"/>
    <w:pPr>
      <w:ind w:left="108"/>
    </w:pPr>
    <w:rPr>
      <w:sz w:val="32"/>
      <w:szCs w:val="32"/>
    </w:rPr>
  </w:style>
  <w:style w:type="paragraph" w:styleId="4">
    <w:name w:val="Title"/>
    <w:basedOn w:val="1"/>
    <w:next w:val="1"/>
    <w:qFormat/>
    <w:uiPriority w:val="10"/>
    <w:pPr>
      <w:spacing w:before="240" w:after="60"/>
      <w:jc w:val="center"/>
      <w:outlineLvl w:val="0"/>
    </w:pPr>
    <w:rPr>
      <w:rFonts w:ascii="Cambria" w:hAnsi="Cambria"/>
      <w:b/>
      <w:kern w:val="0"/>
      <w:sz w:val="24"/>
      <w:szCs w:val="20"/>
      <w:lang w:val="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widowControl/>
      <w:spacing w:line="600" w:lineRule="exact"/>
      <w:ind w:left="420" w:leftChars="200" w:firstLine="641"/>
      <w:jc w:val="left"/>
    </w:pPr>
    <w:rPr>
      <w:rFonts w:ascii="Times New Roman" w:hAnsi="Times New Roman"/>
      <w:sz w:val="32"/>
    </w:rPr>
  </w:style>
  <w:style w:type="paragraph" w:styleId="8">
    <w:name w:val="Normal (Web)"/>
    <w:basedOn w:val="1"/>
    <w:qFormat/>
    <w:uiPriority w:val="0"/>
    <w:pPr>
      <w:widowControl/>
      <w:spacing w:before="100" w:beforeAutospacing="1" w:after="100" w:afterAutospacing="1" w:line="300" w:lineRule="atLeast"/>
      <w:jc w:val="left"/>
    </w:pPr>
    <w:rPr>
      <w:rFonts w:ascii="宋体" w:hAnsi="宋体" w:eastAsia="宋体" w:cs="宋体"/>
      <w:kern w:val="0"/>
      <w:sz w:val="18"/>
      <w:szCs w:val="18"/>
    </w:rPr>
  </w:style>
  <w:style w:type="character" w:styleId="11">
    <w:name w:val="Strong"/>
    <w:qFormat/>
    <w:uiPriority w:val="0"/>
    <w:rPr>
      <w:b/>
      <w:bCs/>
    </w:rPr>
  </w:style>
  <w:style w:type="paragraph" w:customStyle="1" w:styleId="12">
    <w:name w:val="_Style 3"/>
    <w:basedOn w:val="1"/>
    <w:qFormat/>
    <w:uiPriority w:val="0"/>
    <w:pPr>
      <w:ind w:firstLine="420" w:firstLineChars="200"/>
    </w:pPr>
    <w:rPr>
      <w:sz w:val="20"/>
    </w:rPr>
  </w:style>
  <w:style w:type="paragraph" w:customStyle="1" w:styleId="13">
    <w:name w:val="正文 New New New New"/>
    <w:qFormat/>
    <w:uiPriority w:val="99"/>
    <w:pPr>
      <w:widowControl w:val="0"/>
      <w:jc w:val="both"/>
    </w:pPr>
    <w:rPr>
      <w:rFonts w:ascii="Calibri" w:hAnsi="Calibri" w:eastAsia="宋体" w:cs="黑体"/>
      <w:kern w:val="2"/>
      <w:sz w:val="21"/>
      <w:szCs w:val="22"/>
      <w:lang w:val="en-US" w:eastAsia="zh-CN" w:bidi="ar-SA"/>
    </w:rPr>
  </w:style>
  <w:style w:type="paragraph" w:customStyle="1" w:styleId="14">
    <w:name w:val="列出段落1"/>
    <w:basedOn w:val="13"/>
    <w:qFormat/>
    <w:uiPriority w:val="99"/>
    <w:pPr>
      <w:ind w:firstLine="420" w:firstLineChars="200"/>
    </w:pPr>
  </w:style>
  <w:style w:type="character" w:customStyle="1" w:styleId="15">
    <w:name w:val="超链接 New"/>
    <w:qFormat/>
    <w:uiPriority w:val="99"/>
    <w:rPr>
      <w:rFonts w:cs="Times New Roman"/>
      <w:color w:val="0000FF"/>
      <w:u w:val="single"/>
    </w:rPr>
  </w:style>
  <w:style w:type="paragraph" w:customStyle="1" w:styleId="16">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1951</Words>
  <Characters>2078</Characters>
  <Lines>0</Lines>
  <Paragraphs>0</Paragraphs>
  <TotalTime>7</TotalTime>
  <ScaleCrop>false</ScaleCrop>
  <LinksUpToDate>false</LinksUpToDate>
  <CharactersWithSpaces>2116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2021-12-13T02:29:00Z</dcterms:created>
  <dc:creator>carol</dc:creator>
  <cp:lastModifiedBy>张仪良</cp:lastModifiedBy>
  <dcterms:modified xsi:type="dcterms:W3CDTF">2024-10-25T03:22:22Z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A24F66172CF947679A49473DF07AB1BD</vt:lpwstr>
  </property>
</Properties>
</file>