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  <w:lang w:val="en-US" w:eastAsia="zh-CN"/>
        </w:rPr>
        <w:t>工业企业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稳产增效补贴申请表</w:t>
      </w:r>
    </w:p>
    <w:p>
      <w:pPr>
        <w:pStyle w:val="2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 广州市黄埔区推动2024年一季度工业实现“开门红”“开门稳”若干措施》（穗埔工信规字〔2024〕1号）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 w:val="0"/>
                <w:sz w:val="22"/>
                <w:szCs w:val="22"/>
                <w:lang w:val="en-US" w:eastAsia="zh-CN"/>
              </w:rPr>
              <w:t>稳产增效补贴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1A2641"/>
    <w:rsid w:val="015A1A18"/>
    <w:rsid w:val="018F54F6"/>
    <w:rsid w:val="072168C2"/>
    <w:rsid w:val="07C1614B"/>
    <w:rsid w:val="0E7F5399"/>
    <w:rsid w:val="19EC3F29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W</cp:lastModifiedBy>
  <dcterms:modified xsi:type="dcterms:W3CDTF">2024-02-22T02:03:10Z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