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广州市黄埔区广州开发区</w:t>
      </w:r>
      <w:r>
        <w:rPr>
          <w:rFonts w:hint="eastAsia" w:ascii="方正小标宋简体" w:hAnsi="方正小标宋简体" w:eastAsia="方正小标宋简体" w:cs="方正小标宋简体"/>
          <w:b w:val="0"/>
          <w:bCs w:val="0"/>
          <w:sz w:val="44"/>
          <w:szCs w:val="44"/>
          <w:lang w:val="en-US" w:eastAsia="zh-CN"/>
        </w:rPr>
        <w:t>中医药</w:t>
      </w:r>
      <w:r>
        <w:rPr>
          <w:rFonts w:hint="eastAsia" w:ascii="方正小标宋简体" w:hAnsi="方正小标宋简体" w:eastAsia="方正小标宋简体" w:cs="方正小标宋简体"/>
          <w:b w:val="0"/>
          <w:bCs w:val="0"/>
          <w:sz w:val="44"/>
          <w:szCs w:val="44"/>
          <w:lang w:eastAsia="zh-CN"/>
        </w:rPr>
        <w:t>企业</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股权投资</w:t>
      </w:r>
      <w:r>
        <w:rPr>
          <w:rFonts w:hint="eastAsia" w:ascii="方正小标宋简体" w:hAnsi="方正小标宋简体" w:eastAsia="方正小标宋简体" w:cs="方正小标宋简体"/>
          <w:b w:val="0"/>
          <w:bCs w:val="0"/>
          <w:sz w:val="44"/>
          <w:szCs w:val="44"/>
          <w:lang w:eastAsia="zh-CN"/>
        </w:rPr>
        <w:t>扶持</w:t>
      </w:r>
      <w:r>
        <w:rPr>
          <w:rFonts w:hint="eastAsia" w:ascii="方正小标宋简体" w:hAnsi="方正小标宋简体" w:eastAsia="方正小标宋简体" w:cs="方正小标宋简体"/>
          <w:b w:val="0"/>
          <w:bCs w:val="0"/>
          <w:sz w:val="44"/>
          <w:szCs w:val="44"/>
        </w:rPr>
        <w:t>申请审批表</w:t>
      </w:r>
      <w:bookmarkEnd w:id="0"/>
    </w:p>
    <w:p>
      <w:pPr>
        <w:spacing w:line="360" w:lineRule="auto"/>
        <w:jc w:val="center"/>
        <w:rPr>
          <w:rFonts w:hint="eastAsia" w:ascii="宋体" w:hAnsi="宋体" w:cs="宋体"/>
          <w:b/>
          <w:bCs/>
          <w:sz w:val="44"/>
          <w:szCs w:val="44"/>
        </w:rPr>
      </w:pPr>
    </w:p>
    <w:tbl>
      <w:tblPr>
        <w:tblStyle w:val="4"/>
        <w:tblW w:w="1004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2"/>
        <w:gridCol w:w="815"/>
        <w:gridCol w:w="2862"/>
        <w:gridCol w:w="267"/>
        <w:gridCol w:w="2001"/>
        <w:gridCol w:w="1473"/>
        <w:gridCol w:w="172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1" w:hRule="atLeast"/>
          <w:jc w:val="center"/>
        </w:trPr>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企业名称</w:t>
            </w:r>
          </w:p>
        </w:tc>
        <w:tc>
          <w:tcPr>
            <w:tcW w:w="31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p>
        </w:tc>
        <w:tc>
          <w:tcPr>
            <w:tcW w:w="200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snapToGrid w:val="0"/>
                <w:color w:val="000000"/>
                <w:kern w:val="0"/>
                <w:sz w:val="24"/>
                <w:szCs w:val="24"/>
              </w:rPr>
            </w:pPr>
            <w:r>
              <w:rPr>
                <w:rFonts w:hint="default" w:ascii="Times New Roman" w:hAnsi="Times New Roman" w:eastAsia="仿宋_GB2312" w:cs="Times New Roman"/>
                <w:b/>
                <w:bCs/>
                <w:color w:val="000000"/>
                <w:kern w:val="0"/>
                <w:sz w:val="24"/>
                <w:szCs w:val="24"/>
              </w:rPr>
              <w:t>统一社会信用代码</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13" w:hRule="atLeast"/>
          <w:jc w:val="center"/>
        </w:trPr>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lang w:eastAsia="zh-CN"/>
              </w:rPr>
            </w:pPr>
            <w:r>
              <w:rPr>
                <w:rFonts w:hint="default" w:ascii="Times New Roman" w:hAnsi="Times New Roman" w:eastAsia="仿宋_GB2312" w:cs="Times New Roman"/>
                <w:b/>
                <w:bCs/>
                <w:color w:val="000000"/>
                <w:kern w:val="0"/>
                <w:sz w:val="24"/>
                <w:szCs w:val="24"/>
                <w:lang w:eastAsia="zh-CN"/>
              </w:rPr>
              <w:t>注册地址</w:t>
            </w:r>
          </w:p>
        </w:tc>
        <w:tc>
          <w:tcPr>
            <w:tcW w:w="8324"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13" w:hRule="atLeast"/>
          <w:jc w:val="center"/>
        </w:trPr>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lang w:val="en-US" w:eastAsia="zh-CN"/>
              </w:rPr>
            </w:pPr>
            <w:r>
              <w:rPr>
                <w:rFonts w:hint="default" w:ascii="Times New Roman" w:hAnsi="Times New Roman" w:eastAsia="仿宋_GB2312" w:cs="Times New Roman"/>
                <w:b/>
                <w:bCs/>
                <w:color w:val="000000"/>
                <w:kern w:val="0"/>
                <w:sz w:val="24"/>
                <w:szCs w:val="24"/>
                <w:lang w:val="en-US" w:eastAsia="zh-CN"/>
              </w:rPr>
              <w:t>基本户银行</w:t>
            </w:r>
          </w:p>
        </w:tc>
        <w:tc>
          <w:tcPr>
            <w:tcW w:w="31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p>
        </w:tc>
        <w:tc>
          <w:tcPr>
            <w:tcW w:w="200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snapToGrid w:val="0"/>
                <w:color w:val="000000"/>
                <w:kern w:val="0"/>
                <w:sz w:val="24"/>
                <w:szCs w:val="24"/>
                <w:lang w:val="en-US" w:eastAsia="zh-CN"/>
              </w:rPr>
            </w:pPr>
            <w:r>
              <w:rPr>
                <w:rFonts w:hint="default" w:ascii="Times New Roman" w:hAnsi="Times New Roman" w:eastAsia="仿宋_GB2312" w:cs="Times New Roman"/>
                <w:b/>
                <w:bCs/>
                <w:snapToGrid w:val="0"/>
                <w:color w:val="000000"/>
                <w:kern w:val="0"/>
                <w:sz w:val="24"/>
                <w:szCs w:val="24"/>
                <w:lang w:val="en-US" w:eastAsia="zh-CN"/>
              </w:rPr>
              <w:t>基本户账号</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13" w:hRule="atLeast"/>
          <w:jc w:val="center"/>
        </w:trPr>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lang w:val="en-US" w:eastAsia="zh-CN" w:bidi="ar-SA"/>
              </w:rPr>
            </w:pPr>
            <w:r>
              <w:rPr>
                <w:rFonts w:hint="default" w:ascii="Times New Roman" w:hAnsi="Times New Roman" w:eastAsia="仿宋_GB2312" w:cs="Times New Roman"/>
                <w:b/>
                <w:bCs/>
                <w:color w:val="000000"/>
                <w:kern w:val="0"/>
                <w:sz w:val="24"/>
                <w:szCs w:val="24"/>
              </w:rPr>
              <w:t>企业法人</w:t>
            </w:r>
          </w:p>
        </w:tc>
        <w:tc>
          <w:tcPr>
            <w:tcW w:w="31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snapToGrid w:val="0"/>
                <w:color w:val="000000"/>
                <w:kern w:val="0"/>
                <w:sz w:val="24"/>
                <w:szCs w:val="24"/>
                <w:lang w:val="en-US" w:eastAsia="zh-CN" w:bidi="ar-SA"/>
              </w:rPr>
            </w:pPr>
            <w:r>
              <w:rPr>
                <w:rFonts w:hint="default" w:ascii="Times New Roman" w:hAnsi="Times New Roman" w:eastAsia="仿宋_GB2312" w:cs="Times New Roman"/>
                <w:b/>
                <w:bCs/>
                <w:color w:val="000000"/>
                <w:kern w:val="0"/>
                <w:sz w:val="24"/>
                <w:szCs w:val="24"/>
              </w:rPr>
              <w:t>性别</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13" w:hRule="atLeast"/>
          <w:jc w:val="center"/>
        </w:trPr>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企业联系人</w:t>
            </w:r>
          </w:p>
        </w:tc>
        <w:tc>
          <w:tcPr>
            <w:tcW w:w="31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p>
        </w:tc>
        <w:tc>
          <w:tcPr>
            <w:tcW w:w="200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手机</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2" w:hRule="atLeast"/>
          <w:jc w:val="center"/>
        </w:trPr>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上年度销售收入总额（万元）</w:t>
            </w:r>
          </w:p>
        </w:tc>
        <w:tc>
          <w:tcPr>
            <w:tcW w:w="31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p>
        </w:tc>
        <w:tc>
          <w:tcPr>
            <w:tcW w:w="200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上年度税后利润（万元）</w:t>
            </w:r>
          </w:p>
        </w:tc>
        <w:tc>
          <w:tcPr>
            <w:tcW w:w="31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10041"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sz w:val="24"/>
                <w:szCs w:val="24"/>
              </w:rPr>
              <w:t>获得</w:t>
            </w:r>
            <w:r>
              <w:rPr>
                <w:rFonts w:hint="default" w:ascii="Times New Roman" w:hAnsi="Times New Roman" w:eastAsia="仿宋_GB2312" w:cs="Times New Roman"/>
                <w:b/>
                <w:bCs/>
                <w:sz w:val="24"/>
                <w:szCs w:val="24"/>
                <w:lang w:eastAsia="zh-CN"/>
              </w:rPr>
              <w:t>股权投资</w:t>
            </w:r>
            <w:r>
              <w:rPr>
                <w:rFonts w:hint="default" w:ascii="Times New Roman" w:hAnsi="Times New Roman" w:eastAsia="仿宋_GB2312" w:cs="Times New Roman"/>
                <w:b/>
                <w:bCs/>
                <w:sz w:val="24"/>
                <w:szCs w:val="24"/>
              </w:rPr>
              <w:t>有关信息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eastAsia="zh-CN"/>
              </w:rPr>
              <w:t>序号</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eastAsia="zh-CN"/>
              </w:rPr>
              <w:t>股权投资机构</w:t>
            </w:r>
            <w:r>
              <w:rPr>
                <w:rFonts w:hint="default" w:ascii="Times New Roman" w:hAnsi="Times New Roman" w:eastAsia="仿宋_GB2312" w:cs="Times New Roman"/>
                <w:color w:val="000000"/>
                <w:kern w:val="0"/>
                <w:sz w:val="24"/>
                <w:szCs w:val="24"/>
              </w:rPr>
              <w:t>名称</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获得股权投资机构投资额度</w:t>
            </w:r>
            <w:r>
              <w:rPr>
                <w:rFonts w:hint="default" w:ascii="Times New Roman" w:hAnsi="Times New Roman" w:eastAsia="仿宋_GB2312" w:cs="Times New Roman"/>
                <w:color w:val="000000"/>
                <w:kern w:val="0"/>
                <w:sz w:val="24"/>
                <w:szCs w:val="24"/>
              </w:rPr>
              <w:t>（万元）</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rPr>
              <w:t>投资协议签署时间</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投资到账时间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1</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2</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3</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4</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5</w:t>
            </w: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lang w:eastAsia="zh-CN"/>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1"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lang w:val="en-US" w:eastAsia="zh-CN"/>
              </w:rPr>
            </w:pPr>
          </w:p>
        </w:tc>
        <w:tc>
          <w:tcPr>
            <w:tcW w:w="3677"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（可续）</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ind w:left="120" w:hanging="120" w:hangingChars="50"/>
              <w:jc w:val="both"/>
              <w:rPr>
                <w:rFonts w:hint="default" w:ascii="Times New Roman" w:hAnsi="Times New Roman" w:eastAsia="仿宋_GB2312" w:cs="Times New Roman"/>
                <w:color w:val="000000"/>
                <w:kern w:val="0"/>
                <w:sz w:val="24"/>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835" w:hRule="atLeast"/>
          <w:jc w:val="center"/>
        </w:trPr>
        <w:tc>
          <w:tcPr>
            <w:tcW w:w="4579"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b/>
                <w:bCs/>
                <w:color w:val="000000"/>
                <w:kern w:val="0"/>
                <w:sz w:val="24"/>
                <w:szCs w:val="24"/>
                <w:lang w:eastAsia="zh-CN"/>
              </w:rPr>
            </w:pPr>
            <w:r>
              <w:rPr>
                <w:rFonts w:hint="default" w:ascii="Times New Roman" w:hAnsi="Times New Roman" w:eastAsia="仿宋_GB2312" w:cs="Times New Roman"/>
                <w:b/>
                <w:bCs/>
                <w:color w:val="000000"/>
                <w:kern w:val="0"/>
                <w:sz w:val="24"/>
                <w:szCs w:val="24"/>
                <w:lang w:eastAsia="zh-CN"/>
              </w:rPr>
              <w:t>获得股权投资机构投资总额（万元）</w:t>
            </w:r>
          </w:p>
        </w:tc>
        <w:tc>
          <w:tcPr>
            <w:tcW w:w="5462"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119"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both"/>
              <w:rPr>
                <w:rFonts w:hint="default" w:ascii="Times New Roman" w:hAnsi="Times New Roman" w:eastAsia="仿宋_GB2312" w:cs="Times New Roman"/>
                <w:color w:val="000000"/>
                <w:kern w:val="0"/>
                <w:sz w:val="24"/>
                <w:szCs w:val="24"/>
              </w:rPr>
            </w:pPr>
          </w:p>
          <w:p>
            <w:pPr>
              <w:widowControl/>
              <w:snapToGrid w:val="0"/>
              <w:spacing w:line="240" w:lineRule="atLeast"/>
              <w:ind w:firstLine="0" w:firstLineChars="0"/>
              <w:jc w:val="center"/>
              <w:rPr>
                <w:rFonts w:hint="default" w:ascii="Times New Roman" w:hAnsi="Times New Roman" w:eastAsia="仿宋_GB2312" w:cs="Times New Roman"/>
                <w:b/>
                <w:bCs/>
                <w:color w:val="000000"/>
                <w:kern w:val="0"/>
                <w:sz w:val="24"/>
                <w:szCs w:val="24"/>
                <w:lang w:val="en-US" w:eastAsia="zh-CN"/>
              </w:rPr>
            </w:pPr>
            <w:r>
              <w:rPr>
                <w:rFonts w:hint="default" w:ascii="Times New Roman" w:hAnsi="Times New Roman" w:eastAsia="仿宋_GB2312" w:cs="Times New Roman"/>
                <w:b/>
                <w:bCs/>
                <w:color w:val="000000"/>
                <w:kern w:val="0"/>
                <w:sz w:val="24"/>
                <w:szCs w:val="24"/>
                <w:lang w:val="en-US" w:eastAsia="zh-CN"/>
              </w:rPr>
              <w:t>申请金额及说明</w:t>
            </w:r>
          </w:p>
          <w:p>
            <w:pPr>
              <w:widowControl/>
              <w:snapToGrid w:val="0"/>
              <w:spacing w:line="300" w:lineRule="auto"/>
              <w:jc w:val="both"/>
              <w:rPr>
                <w:rFonts w:hint="default" w:ascii="Times New Roman" w:hAnsi="Times New Roman" w:eastAsia="仿宋_GB2312" w:cs="Times New Roman"/>
                <w:color w:val="000000"/>
                <w:kern w:val="0"/>
                <w:sz w:val="24"/>
                <w:szCs w:val="24"/>
              </w:rPr>
            </w:pPr>
          </w:p>
        </w:tc>
        <w:tc>
          <w:tcPr>
            <w:tcW w:w="9139"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auto"/>
              <w:jc w:val="both"/>
              <w:rPr>
                <w:rFonts w:hint="default" w:ascii="Times New Roman" w:hAnsi="Times New Roman" w:eastAsia="仿宋_GB2312" w:cs="Times New Roman"/>
                <w:color w:val="000000"/>
                <w:kern w:val="0"/>
                <w:sz w:val="24"/>
                <w:szCs w:val="24"/>
              </w:rPr>
            </w:pPr>
          </w:p>
          <w:p>
            <w:pPr>
              <w:widowControl/>
              <w:snapToGrid/>
              <w:spacing w:line="560" w:lineRule="exact"/>
              <w:ind w:right="0" w:rightChars="0" w:firstLine="0" w:firstLineChars="0"/>
              <w:jc w:val="left"/>
              <w:outlineLvl w:val="9"/>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拟申请股权投资</w:t>
            </w:r>
            <w:r>
              <w:rPr>
                <w:rFonts w:hint="default" w:ascii="Times New Roman" w:hAnsi="Times New Roman" w:eastAsia="仿宋_GB2312" w:cs="Times New Roman"/>
                <w:color w:val="000000"/>
                <w:kern w:val="0"/>
                <w:sz w:val="24"/>
                <w:szCs w:val="24"/>
                <w:lang w:eastAsia="zh-CN"/>
              </w:rPr>
              <w:t>扶持</w:t>
            </w:r>
            <w:r>
              <w:rPr>
                <w:rFonts w:hint="default" w:ascii="Times New Roman" w:hAnsi="Times New Roman" w:eastAsia="仿宋_GB2312" w:cs="Times New Roman"/>
                <w:color w:val="000000"/>
                <w:kern w:val="0"/>
                <w:sz w:val="24"/>
                <w:szCs w:val="24"/>
              </w:rPr>
              <w:t>金额</w:t>
            </w:r>
            <w:r>
              <w:rPr>
                <w:rFonts w:hint="default" w:ascii="Times New Roman" w:hAnsi="Times New Roman" w:eastAsia="仿宋_GB2312" w:cs="Times New Roman"/>
                <w:color w:val="000000"/>
                <w:kern w:val="0"/>
                <w:sz w:val="24"/>
                <w:szCs w:val="24"/>
                <w:u w:val="single"/>
                <w:lang w:val="en-US" w:eastAsia="zh-CN"/>
              </w:rPr>
              <w:t xml:space="preserve">              </w:t>
            </w:r>
            <w:r>
              <w:rPr>
                <w:rFonts w:hint="default" w:ascii="Times New Roman" w:hAnsi="Times New Roman" w:eastAsia="仿宋_GB2312" w:cs="Times New Roman"/>
                <w:color w:val="000000"/>
                <w:kern w:val="0"/>
                <w:sz w:val="24"/>
                <w:szCs w:val="24"/>
                <w:u w:val="none"/>
                <w:lang w:val="en-US" w:eastAsia="zh-CN"/>
              </w:rPr>
              <w:t xml:space="preserve"> </w:t>
            </w:r>
            <w:r>
              <w:rPr>
                <w:rFonts w:hint="default" w:ascii="Times New Roman" w:hAnsi="Times New Roman" w:eastAsia="仿宋_GB2312" w:cs="Times New Roman"/>
                <w:color w:val="000000"/>
                <w:kern w:val="0"/>
                <w:sz w:val="24"/>
                <w:szCs w:val="24"/>
              </w:rPr>
              <w:t>万元</w:t>
            </w:r>
            <w:r>
              <w:rPr>
                <w:rFonts w:hint="default" w:ascii="Times New Roman" w:hAnsi="Times New Roman" w:eastAsia="仿宋_GB2312" w:cs="Times New Roman"/>
                <w:color w:val="000000"/>
                <w:kern w:val="0"/>
                <w:sz w:val="24"/>
                <w:szCs w:val="24"/>
                <w:lang w:eastAsia="zh-CN"/>
              </w:rPr>
              <w:t>（按所获投资额的5%给予扶持，最高100万元；同一笔投资已获得本股权投资扶持及本区其他股权投资扶持的按从高不重复原则支持，可申请补差并在下面予以说明；以同一股权投资机构的增加投资再次申请扶持的，只能按该机构投资额增量部分申请扶持资金并在下面予以说明）。</w:t>
            </w:r>
          </w:p>
          <w:p>
            <w:pPr>
              <w:widowControl/>
              <w:snapToGrid/>
              <w:spacing w:line="560" w:lineRule="exact"/>
              <w:ind w:right="0" w:rightChars="0" w:firstLine="0" w:firstLineChars="0"/>
              <w:jc w:val="left"/>
              <w:outlineLvl w:val="9"/>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说明：</w:t>
            </w:r>
          </w:p>
          <w:p>
            <w:pPr>
              <w:widowControl/>
              <w:snapToGrid w:val="0"/>
              <w:spacing w:line="300" w:lineRule="auto"/>
              <w:ind w:right="863" w:rightChars="411"/>
              <w:jc w:val="both"/>
              <w:rPr>
                <w:rFonts w:hint="default" w:ascii="Times New Roman" w:hAnsi="Times New Roman" w:eastAsia="仿宋_GB2312" w:cs="Times New Roman"/>
                <w:color w:val="000000"/>
                <w:kern w:val="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089"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tabs>
                <w:tab w:val="left" w:pos="4203"/>
                <w:tab w:val="left" w:pos="5568"/>
                <w:tab w:val="left" w:pos="8193"/>
                <w:tab w:val="left" w:pos="9468"/>
              </w:tabs>
              <w:snapToGrid w:val="0"/>
              <w:spacing w:line="360" w:lineRule="auto"/>
              <w:jc w:val="center"/>
              <w:rPr>
                <w:rFonts w:hint="default" w:ascii="Times New Roman" w:hAnsi="Times New Roman" w:eastAsia="仿宋_GB2312" w:cs="Times New Roman"/>
                <w:b/>
                <w:bCs/>
                <w:color w:val="000000"/>
                <w:kern w:val="0"/>
                <w:sz w:val="24"/>
                <w:szCs w:val="24"/>
                <w:lang w:val="en-US" w:eastAsia="zh-CN"/>
              </w:rPr>
            </w:pPr>
            <w:r>
              <w:rPr>
                <w:rFonts w:hint="default" w:ascii="Times New Roman" w:hAnsi="Times New Roman" w:eastAsia="仿宋_GB2312" w:cs="Times New Roman"/>
                <w:b/>
                <w:bCs/>
                <w:color w:val="000000"/>
                <w:kern w:val="0"/>
                <w:sz w:val="24"/>
                <w:szCs w:val="24"/>
                <w:lang w:val="en-US" w:eastAsia="zh-CN"/>
              </w:rPr>
              <w:t>单 位</w:t>
            </w:r>
          </w:p>
          <w:p>
            <w:pPr>
              <w:tabs>
                <w:tab w:val="left" w:pos="4203"/>
                <w:tab w:val="left" w:pos="5568"/>
                <w:tab w:val="left" w:pos="8193"/>
                <w:tab w:val="left" w:pos="9468"/>
              </w:tabs>
              <w:snapToGrid w:val="0"/>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b/>
                <w:bCs/>
                <w:color w:val="000000"/>
                <w:kern w:val="0"/>
                <w:sz w:val="24"/>
                <w:szCs w:val="24"/>
                <w:lang w:val="en-US" w:eastAsia="zh-CN"/>
              </w:rPr>
              <w:t>承 诺</w:t>
            </w:r>
          </w:p>
        </w:tc>
        <w:tc>
          <w:tcPr>
            <w:tcW w:w="9139" w:type="dxa"/>
            <w:gridSpan w:val="6"/>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left"/>
              <w:outlineLvl w:val="9"/>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000000"/>
                <w:kern w:val="0"/>
                <w:sz w:val="24"/>
                <w:szCs w:val="24"/>
              </w:rPr>
              <w:t>我单位在广州市黄埔区广州</w:t>
            </w:r>
            <w:r>
              <w:rPr>
                <w:rFonts w:hint="default" w:ascii="Times New Roman" w:hAnsi="Times New Roman" w:eastAsia="仿宋_GB2312" w:cs="Times New Roman"/>
                <w:color w:val="auto"/>
                <w:kern w:val="2"/>
                <w:sz w:val="24"/>
                <w:szCs w:val="24"/>
              </w:rPr>
              <w:t>开发区内设立，</w:t>
            </w:r>
            <w:r>
              <w:rPr>
                <w:rFonts w:hint="default" w:ascii="Times New Roman" w:hAnsi="Times New Roman" w:eastAsia="仿宋_GB2312" w:cs="Times New Roman"/>
                <w:sz w:val="24"/>
                <w:szCs w:val="24"/>
              </w:rPr>
              <w:t>在本区税务注册登记，按规定纳入本区统计口径，并且具有健全财务制度、独立法人资格、实行独立核算。</w:t>
            </w:r>
            <w:r>
              <w:rPr>
                <w:rFonts w:hint="default" w:ascii="Times New Roman" w:hAnsi="Times New Roman" w:eastAsia="仿宋_GB2312" w:cs="Times New Roman"/>
                <w:color w:val="auto"/>
                <w:kern w:val="2"/>
                <w:sz w:val="24"/>
                <w:szCs w:val="24"/>
              </w:rPr>
              <w:t>本企业符合享受《广州市黄埔区、广州开发区、广州高新区促进中医药传承创新发展若干措施》（穗埔府规〔2022〕3号）</w:t>
            </w:r>
            <w:r>
              <w:rPr>
                <w:rFonts w:hint="default" w:ascii="Times New Roman" w:hAnsi="Times New Roman" w:eastAsia="仿宋_GB2312" w:cs="Times New Roman"/>
                <w:kern w:val="2"/>
                <w:sz w:val="24"/>
                <w:szCs w:val="24"/>
                <w:lang w:val="en-US" w:eastAsia="zh-CN"/>
              </w:rPr>
              <w:t>和</w:t>
            </w:r>
            <w:r>
              <w:rPr>
                <w:rFonts w:hint="default" w:ascii="Times New Roman" w:hAnsi="Times New Roman" w:eastAsia="仿宋_GB2312" w:cs="Times New Roman"/>
                <w:color w:val="auto"/>
                <w:kern w:val="2"/>
                <w:sz w:val="24"/>
                <w:szCs w:val="24"/>
              </w:rPr>
              <w:t>《广州市黄埔区、广州开发区、广州高新区促进中医药传承创新发展若干措施实施细则》（穗埔科规字〔2023〕2号）</w:t>
            </w:r>
            <w:r>
              <w:rPr>
                <w:rFonts w:hint="default" w:ascii="Times New Roman" w:hAnsi="Times New Roman" w:eastAsia="仿宋_GB2312" w:cs="Times New Roman"/>
                <w:color w:val="auto"/>
                <w:kern w:val="2"/>
                <w:sz w:val="24"/>
                <w:szCs w:val="24"/>
                <w:lang w:eastAsia="zh-CN"/>
              </w:rPr>
              <w:t>中关于</w:t>
            </w:r>
            <w:r>
              <w:rPr>
                <w:rFonts w:hint="default" w:ascii="Times New Roman" w:hAnsi="Times New Roman" w:eastAsia="仿宋_GB2312" w:cs="Times New Roman"/>
                <w:color w:val="auto"/>
                <w:kern w:val="2"/>
                <w:sz w:val="24"/>
                <w:szCs w:val="24"/>
                <w:lang w:val="en-US" w:eastAsia="zh-CN"/>
              </w:rPr>
              <w:t>中医药</w:t>
            </w:r>
            <w:r>
              <w:rPr>
                <w:rFonts w:hint="default" w:ascii="Times New Roman" w:hAnsi="Times New Roman" w:eastAsia="仿宋_GB2312" w:cs="Times New Roman"/>
                <w:color w:val="auto"/>
                <w:kern w:val="2"/>
                <w:sz w:val="24"/>
                <w:szCs w:val="24"/>
                <w:lang w:eastAsia="zh-CN"/>
              </w:rPr>
              <w:t>企业股权投资扶持</w:t>
            </w:r>
            <w:r>
              <w:rPr>
                <w:rFonts w:hint="default" w:ascii="Times New Roman" w:hAnsi="Times New Roman" w:eastAsia="仿宋_GB2312" w:cs="Times New Roman"/>
                <w:color w:val="auto"/>
                <w:kern w:val="2"/>
                <w:sz w:val="24"/>
                <w:szCs w:val="24"/>
              </w:rPr>
              <w:t>政策要求。</w:t>
            </w:r>
          </w:p>
          <w:p>
            <w:pPr>
              <w:widowControl/>
              <w:spacing w:line="620" w:lineRule="atLeast"/>
              <w:ind w:firstLine="525" w:firstLineChars="219"/>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p>
          <w:p>
            <w:pPr>
              <w:widowControl/>
              <w:spacing w:line="620" w:lineRule="atLeast"/>
              <w:ind w:firstLine="525" w:firstLineChars="219"/>
              <w:jc w:val="both"/>
              <w:rPr>
                <w:rFonts w:hint="default" w:ascii="Times New Roman" w:hAnsi="Times New Roman" w:eastAsia="仿宋_GB2312" w:cs="Times New Roman"/>
                <w:color w:val="000000"/>
                <w:kern w:val="0"/>
                <w:sz w:val="24"/>
                <w:szCs w:val="24"/>
              </w:rPr>
            </w:pPr>
          </w:p>
          <w:p>
            <w:pPr>
              <w:widowControl/>
              <w:spacing w:line="620" w:lineRule="atLeast"/>
              <w:ind w:firstLine="525" w:firstLineChars="219"/>
              <w:jc w:val="both"/>
              <w:rPr>
                <w:rFonts w:hint="default" w:ascii="Times New Roman" w:hAnsi="Times New Roman" w:eastAsia="仿宋_GB2312" w:cs="Times New Roman"/>
                <w:color w:val="000000"/>
                <w:kern w:val="0"/>
                <w:sz w:val="24"/>
                <w:szCs w:val="24"/>
              </w:rPr>
            </w:pPr>
          </w:p>
          <w:p>
            <w:pPr>
              <w:widowControl/>
              <w:spacing w:line="620" w:lineRule="atLeast"/>
              <w:ind w:firstLine="525" w:firstLineChars="219"/>
              <w:jc w:val="both"/>
              <w:rPr>
                <w:rFonts w:hint="default" w:ascii="Times New Roman" w:hAnsi="Times New Roman" w:eastAsia="仿宋_GB2312" w:cs="Times New Roman"/>
                <w:color w:val="000000"/>
                <w:kern w:val="0"/>
                <w:sz w:val="24"/>
                <w:szCs w:val="24"/>
              </w:rPr>
            </w:pPr>
          </w:p>
          <w:p>
            <w:pPr>
              <w:widowControl/>
              <w:spacing w:line="620" w:lineRule="atLeast"/>
              <w:ind w:firstLine="525" w:firstLineChars="219"/>
              <w:jc w:val="both"/>
              <w:rPr>
                <w:rFonts w:hint="default" w:ascii="Times New Roman" w:hAnsi="Times New Roman" w:eastAsia="仿宋_GB2312" w:cs="Times New Roman"/>
                <w:color w:val="000000"/>
                <w:kern w:val="0"/>
                <w:sz w:val="24"/>
                <w:szCs w:val="24"/>
              </w:rPr>
            </w:pPr>
          </w:p>
          <w:p>
            <w:pPr>
              <w:widowControl/>
              <w:spacing w:line="620" w:lineRule="atLeast"/>
              <w:ind w:firstLine="525" w:firstLineChars="219"/>
              <w:jc w:val="both"/>
              <w:rPr>
                <w:rFonts w:hint="default" w:ascii="Times New Roman" w:hAnsi="Times New Roman" w:eastAsia="仿宋_GB2312" w:cs="Times New Roman"/>
                <w:color w:val="000000"/>
                <w:kern w:val="0"/>
                <w:sz w:val="24"/>
                <w:szCs w:val="24"/>
              </w:rPr>
            </w:pPr>
          </w:p>
          <w:p>
            <w:pPr>
              <w:keepNext w:val="0"/>
              <w:keepLines w:val="0"/>
              <w:pageBreakBefore w:val="0"/>
              <w:widowControl/>
              <w:kinsoku/>
              <w:wordWrap/>
              <w:overflowPunct/>
              <w:topLinePunct w:val="0"/>
              <w:autoSpaceDE/>
              <w:autoSpaceDN/>
              <w:bidi w:val="0"/>
              <w:adjustRightInd/>
              <w:spacing w:line="720" w:lineRule="auto"/>
              <w:ind w:right="960" w:firstLine="3120" w:firstLineChars="1300"/>
              <w:jc w:val="both"/>
              <w:textAlignment w:val="auto"/>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rPr>
              <w:t>企业法定代表人签章：</w:t>
            </w:r>
            <w:r>
              <w:rPr>
                <w:rFonts w:hint="default" w:ascii="Times New Roman" w:hAnsi="Times New Roman" w:eastAsia="仿宋_GB2312" w:cs="Times New Roman"/>
                <w:color w:val="00000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pacing w:line="720" w:lineRule="auto"/>
              <w:ind w:left="0" w:leftChars="0" w:firstLine="4320" w:firstLineChars="1800"/>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企业公章：</w:t>
            </w:r>
          </w:p>
          <w:p>
            <w:pPr>
              <w:keepNext w:val="0"/>
              <w:keepLines w:val="0"/>
              <w:pageBreakBefore w:val="0"/>
              <w:tabs>
                <w:tab w:val="left" w:pos="4203"/>
                <w:tab w:val="left" w:pos="5568"/>
                <w:tab w:val="left" w:pos="8193"/>
                <w:tab w:val="left" w:pos="9468"/>
              </w:tabs>
              <w:kinsoku/>
              <w:wordWrap/>
              <w:overflowPunct/>
              <w:topLinePunct w:val="0"/>
              <w:autoSpaceDE/>
              <w:autoSpaceDN/>
              <w:bidi w:val="0"/>
              <w:adjustRightInd/>
              <w:snapToGrid w:val="0"/>
              <w:spacing w:line="720" w:lineRule="auto"/>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AC6C7BF-E456-4A38-8D50-254BDEA326B6}"/>
  </w:font>
  <w:font w:name="仿宋_GB2312">
    <w:panose1 w:val="02010609030101010101"/>
    <w:charset w:val="86"/>
    <w:family w:val="auto"/>
    <w:pitch w:val="default"/>
    <w:sig w:usb0="00000001" w:usb1="080E0000" w:usb2="00000000" w:usb3="00000000" w:csb0="00040000" w:csb1="00000000"/>
    <w:embedRegular r:id="rId2" w:fontKey="{86CBB036-F199-47FC-9D6B-345C0ABD7309}"/>
  </w:font>
  <w:font w:name="方正小标宋简体">
    <w:panose1 w:val="02000000000000000000"/>
    <w:charset w:val="86"/>
    <w:family w:val="auto"/>
    <w:pitch w:val="default"/>
    <w:sig w:usb0="00000001" w:usb1="08000000" w:usb2="00000000" w:usb3="00000000" w:csb0="00040000" w:csb1="00000000"/>
    <w:embedRegular r:id="rId3" w:fontKey="{6809E9E8-8233-4EAA-81D8-6504D859A2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NmVhZWY0ZTcxZjhiODEzNDE5Yzk0MzE4ZGIyMjAifQ=="/>
  </w:docVars>
  <w:rsids>
    <w:rsidRoot w:val="56047291"/>
    <w:rsid w:val="26E43340"/>
    <w:rsid w:val="4F144075"/>
    <w:rsid w:val="5604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asciiTheme="minorAscii" w:hAnsiTheme="minorAscii"/>
      <w:b/>
      <w:kern w:val="44"/>
      <w:sz w:val="44"/>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39"/>
    <w:pPr>
      <w:spacing w:line="600" w:lineRule="exact"/>
      <w:ind w:left="420" w:leftChars="200" w:firstLine="643" w:firstLineChars="200"/>
    </w:pPr>
    <w:rPr>
      <w:rFonts w:ascii="Calibri" w:hAnsi="Calibri" w:eastAsia="仿宋_GB2312"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2024-04-28T08:33:00Z</dcterms:created>
  <dc:creator>Administrator</dc:creator>
  <cp:lastModifiedBy>Administrator</cp:lastModifiedBy>
  <dcterms:modified xsi:type="dcterms:W3CDTF">2024-04-28T08:33:42Z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3BF60EDA15304207AF1A987EAD46A667_11</vt:lpwstr>
  </property>
</Properties>
</file>