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附件9</w:t>
      </w:r>
    </w:p>
    <w:p>
      <w:pPr>
        <w:rPr>
          <w:rFonts w:hint="default" w:ascii="Times New Roman" w:hAnsi="Times New Roman"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（创新类-科研院所组）</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科研院所组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bookmarkStart w:id="0" w:name="_GoBack"/>
      <w:bookmarkEnd w:id="0"/>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如合同、离职证明、工资薪金类记录或缴纳社会保险费记录等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r>
        <w:rPr>
          <w:rFonts w:hint="default" w:ascii="Times New Roman" w:hAnsi="Times New Roman" w:eastAsia="仿宋_GB2312" w:cs="Times New Roman"/>
          <w:color w:val="auto"/>
          <w:spacing w:val="15"/>
          <w:sz w:val="32"/>
          <w:szCs w:val="32"/>
          <w:highlight w:val="none"/>
          <w:shd w:val="clear" w:color="auto" w:fill="FFFFFF"/>
          <w:lang w:val="en-US" w:eastAsia="zh-CN"/>
        </w:rPr>
        <w:t>若</w:t>
      </w:r>
      <w:r>
        <w:rPr>
          <w:rFonts w:hint="eastAsia" w:ascii="Times New Roman" w:hAnsi="Times New Roman" w:eastAsia="仿宋_GB2312" w:cs="Times New Roman"/>
          <w:color w:val="auto"/>
          <w:spacing w:val="15"/>
          <w:sz w:val="32"/>
          <w:szCs w:val="32"/>
          <w:highlight w:val="none"/>
          <w:shd w:val="clear" w:color="auto" w:fill="FFFFFF"/>
          <w:lang w:val="en-US" w:eastAsia="zh-CN"/>
        </w:rPr>
        <w:t>领取薪酬</w:t>
      </w:r>
      <w:r>
        <w:rPr>
          <w:rFonts w:hint="default" w:ascii="Times New Roman" w:hAnsi="Times New Roman" w:eastAsia="仿宋_GB2312" w:cs="Times New Roman"/>
          <w:color w:val="auto"/>
          <w:spacing w:val="15"/>
          <w:sz w:val="32"/>
          <w:szCs w:val="32"/>
          <w:highlight w:val="none"/>
          <w:shd w:val="clear" w:color="auto" w:fill="FFFFFF"/>
          <w:lang w:val="en-US" w:eastAsia="zh-CN"/>
        </w:rPr>
        <w:t>未满12个月</w:t>
      </w:r>
      <w:r>
        <w:rPr>
          <w:rFonts w:hint="eastAsia" w:ascii="Times New Roman" w:hAnsi="Times New Roman" w:eastAsia="仿宋_GB2312" w:cs="Times New Roman"/>
          <w:color w:val="auto"/>
          <w:spacing w:val="15"/>
          <w:sz w:val="32"/>
          <w:szCs w:val="32"/>
          <w:highlight w:val="none"/>
          <w:shd w:val="clear" w:color="auto" w:fill="FFFFFF"/>
          <w:lang w:val="en-US" w:eastAsia="zh-CN"/>
        </w:rPr>
        <w:t>，</w:t>
      </w:r>
      <w:r>
        <w:rPr>
          <w:rFonts w:hint="default" w:ascii="Times New Roman" w:hAnsi="Times New Roman" w:eastAsia="仿宋_GB2312" w:cs="Times New Roman"/>
          <w:color w:val="auto"/>
          <w:spacing w:val="15"/>
          <w:sz w:val="32"/>
          <w:szCs w:val="32"/>
          <w:highlight w:val="none"/>
          <w:shd w:val="clear" w:color="auto" w:fill="FFFFFF"/>
          <w:lang w:val="en-US" w:eastAsia="zh-CN"/>
        </w:rPr>
        <w:t>则提供承诺类材料</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研究技术报告、重要学术会议邀请报告、</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申报单位统计关系证明材料：最新一个月/季度的《查看法人单位表》（联系所属街道的统计员可打印；若信息变更，需提供说明材料)。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申报人电子照片（仅需提供电子版，无需打印装订在申报材料里）：免冠证件照（像素≥100kb）+竖版高清职业照/工作照/生活照（三选一，像素≥2M）；</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ind w:left="0" w:leftChars="0" w:firstLine="70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备注：1.非英语外文证明材料需提供中文翻译件；2.提交材料为复印件的，</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每一份连续性材料首页注明“与原件相符”，并加盖骑缝公章，材料为单页的，注明“与原件相符”并加盖公章</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3.</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MwZjdkM2NlZWJlNTIxMjRjYzc3Mjk1NjM5NmIifQ=="/>
  </w:docVars>
  <w:rsids>
    <w:rsidRoot w:val="05EE0247"/>
    <w:rsid w:val="05EE0247"/>
    <w:rsid w:val="3A732150"/>
    <w:rsid w:val="42E7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2024-04-26T06:13:00Z</dcterms:created>
  <dc:creator>秦宏伟</dc:creator>
  <cp:lastModifiedBy>严</cp:lastModifiedBy>
  <dcterms:modified xsi:type="dcterms:W3CDTF">2024-04-30T02:35:41Z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C54D6FD45C4E4156B1C32D1A5CD5E5B3_11</vt:lpwstr>
  </property>
</Properties>
</file>