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2D0FF">
      <w:pPr>
        <w:spacing w:beforeLines="0" w:afterLines="0" w:line="580" w:lineRule="exac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附件5</w:t>
      </w:r>
    </w:p>
    <w:p w14:paraId="62E5FE17">
      <w:pPr>
        <w:spacing w:beforeLines="0" w:afterLines="0" w:line="580" w:lineRule="exact"/>
        <w:ind w:left="0" w:firstLine="880" w:firstLineChars="200"/>
        <w:jc w:val="center"/>
        <w:rPr>
          <w:rFonts w:hint="eastAsia" w:ascii="方正小标宋简体" w:hAnsi="方正小标宋简体" w:eastAsia="方正小标宋简体" w:cs="方正小标宋简体"/>
          <w:sz w:val="44"/>
          <w:szCs w:val="44"/>
          <w:highlight w:val="none"/>
          <w:lang w:val="en-US" w:eastAsia="zh-CN"/>
        </w:rPr>
      </w:pPr>
    </w:p>
    <w:p w14:paraId="38B902E2">
      <w:pPr>
        <w:spacing w:beforeLines="0" w:afterLines="0" w:line="580" w:lineRule="exact"/>
        <w:ind w:left="0" w:firstLine="880" w:firstLineChars="200"/>
        <w:jc w:val="center"/>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相关条款具体解释及咨询电话</w:t>
      </w:r>
    </w:p>
    <w:p w14:paraId="6BA08283">
      <w:pPr>
        <w:spacing w:beforeLines="0" w:afterLines="0" w:line="580" w:lineRule="exact"/>
        <w:ind w:left="0" w:firstLine="560" w:firstLineChars="200"/>
        <w:rPr>
          <w:rFonts w:hint="eastAsia" w:ascii="黑体" w:hAnsi="黑体" w:eastAsia="黑体" w:cs="黑体"/>
          <w:sz w:val="28"/>
          <w:szCs w:val="28"/>
          <w:highlight w:val="none"/>
          <w:lang w:val="en-US" w:eastAsia="zh-CN"/>
        </w:rPr>
      </w:pPr>
    </w:p>
    <w:p w14:paraId="0B7D5C64">
      <w:pPr>
        <w:widowControl/>
        <w:numPr>
          <w:ilvl w:val="-1"/>
          <w:numId w:val="0"/>
        </w:numPr>
        <w:spacing w:beforeLines="0" w:afterLines="0" w:line="580" w:lineRule="exact"/>
        <w:ind w:left="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一、关于“（单位）统计关系”的具体解释</w:t>
      </w:r>
    </w:p>
    <w:p w14:paraId="4A6E64B3">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default" w:ascii="Times New Roman" w:hAnsi="Times New Roman" w:eastAsia="仿宋_GB2312" w:cs="Times New Roman"/>
          <w:strike w:val="0"/>
          <w:color w:val="auto"/>
          <w:sz w:val="32"/>
          <w:szCs w:val="32"/>
          <w:highlight w:val="none"/>
          <w:u w:val="none" w:color="auto"/>
          <w:lang w:val="en-US" w:eastAsia="zh-CN"/>
        </w:rPr>
        <w:t>区统计局</w:t>
      </w:r>
      <w:r>
        <w:rPr>
          <w:rFonts w:hint="eastAsia" w:ascii="Times New Roman" w:hAnsi="Times New Roman" w:eastAsia="仿宋_GB2312" w:cs="Times New Roman"/>
          <w:strike w:val="0"/>
          <w:color w:val="auto"/>
          <w:sz w:val="32"/>
          <w:szCs w:val="32"/>
          <w:highlight w:val="none"/>
          <w:u w:val="none" w:color="auto"/>
          <w:lang w:val="en-US" w:eastAsia="zh-CN"/>
        </w:rPr>
        <w:t>对“（单位）</w:t>
      </w:r>
      <w:r>
        <w:rPr>
          <w:rFonts w:hint="default" w:ascii="Times New Roman" w:hAnsi="Times New Roman" w:eastAsia="仿宋_GB2312" w:cs="Times New Roman"/>
          <w:strike w:val="0"/>
          <w:color w:val="auto"/>
          <w:sz w:val="32"/>
          <w:szCs w:val="32"/>
          <w:highlight w:val="none"/>
          <w:u w:val="none" w:color="auto"/>
          <w:lang w:val="en-US" w:eastAsia="zh-CN"/>
        </w:rPr>
        <w:t>统计关系</w:t>
      </w:r>
      <w:r>
        <w:rPr>
          <w:rFonts w:hint="eastAsia" w:ascii="Times New Roman" w:hAnsi="Times New Roman" w:eastAsia="仿宋_GB2312" w:cs="Times New Roman"/>
          <w:strike w:val="0"/>
          <w:color w:val="auto"/>
          <w:sz w:val="32"/>
          <w:szCs w:val="32"/>
          <w:highlight w:val="none"/>
          <w:u w:val="none" w:color="auto"/>
          <w:lang w:val="en-US" w:eastAsia="zh-CN"/>
        </w:rPr>
        <w:t>”</w:t>
      </w:r>
      <w:r>
        <w:rPr>
          <w:rFonts w:hint="default" w:ascii="Times New Roman" w:hAnsi="Times New Roman" w:eastAsia="仿宋_GB2312" w:cs="Times New Roman"/>
          <w:strike w:val="0"/>
          <w:color w:val="auto"/>
          <w:sz w:val="32"/>
          <w:szCs w:val="32"/>
          <w:highlight w:val="none"/>
          <w:u w:val="none" w:color="auto"/>
          <w:lang w:val="en-US" w:eastAsia="zh-CN"/>
        </w:rPr>
        <w:t>的解释</w:t>
      </w:r>
      <w:r>
        <w:rPr>
          <w:rFonts w:hint="eastAsia" w:ascii="Times New Roman" w:hAnsi="Times New Roman" w:eastAsia="仿宋_GB2312" w:cs="Times New Roman"/>
          <w:strike w:val="0"/>
          <w:color w:val="auto"/>
          <w:sz w:val="32"/>
          <w:szCs w:val="32"/>
          <w:highlight w:val="none"/>
          <w:u w:val="none" w:color="auto"/>
          <w:lang w:val="en-US" w:eastAsia="zh-CN"/>
        </w:rPr>
        <w:t>为</w:t>
      </w:r>
      <w:r>
        <w:rPr>
          <w:rFonts w:hint="default" w:ascii="Times New Roman" w:hAnsi="Times New Roman" w:eastAsia="仿宋_GB2312" w:cs="Times New Roman"/>
          <w:strike w:val="0"/>
          <w:color w:val="auto"/>
          <w:sz w:val="32"/>
          <w:szCs w:val="32"/>
          <w:highlight w:val="none"/>
          <w:u w:val="none" w:color="auto"/>
          <w:lang w:val="en-US" w:eastAsia="zh-CN"/>
        </w:rPr>
        <w:t>：根据国家在地统计原则，具备独立法人资格的统计单位（包括可视同法人单位的分公司、分支机构）应当向经营所在地或主要经营所在地（指企业有多个经营地的情况）的县级统计部门提供有关统计资料并纳入当地统计基本单位名录库后，与当地统计部门建立的统计业务指导、管理关系。</w:t>
      </w:r>
    </w:p>
    <w:p w14:paraId="63DB8BD6">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eastAsia" w:ascii="Times New Roman" w:hAnsi="Times New Roman" w:eastAsia="仿宋_GB2312" w:cs="Times New Roman"/>
          <w:strike w:val="0"/>
          <w:color w:val="auto"/>
          <w:sz w:val="32"/>
          <w:szCs w:val="32"/>
          <w:highlight w:val="none"/>
          <w:u w:val="none" w:color="auto"/>
          <w:lang w:val="en-US" w:eastAsia="zh-CN"/>
        </w:rPr>
        <w:t>区统计局</w:t>
      </w:r>
      <w:r>
        <w:rPr>
          <w:rFonts w:hint="default" w:ascii="Times New Roman" w:hAnsi="Times New Roman" w:eastAsia="仿宋_GB2312" w:cs="Times New Roman"/>
          <w:strike w:val="0"/>
          <w:color w:val="auto"/>
          <w:sz w:val="32"/>
          <w:szCs w:val="32"/>
          <w:highlight w:val="none"/>
          <w:u w:val="none" w:color="auto"/>
          <w:lang w:val="en-US" w:eastAsia="zh-CN"/>
        </w:rPr>
        <w:t>业务咨询电话：020-34681003或020-39053692。</w:t>
      </w:r>
    </w:p>
    <w:p w14:paraId="5326CFFD">
      <w:pPr>
        <w:spacing w:beforeLines="0" w:afterLines="0" w:line="580" w:lineRule="exact"/>
        <w:ind w:left="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二、关于“</w:t>
      </w:r>
      <w:r>
        <w:rPr>
          <w:rFonts w:hint="eastAsia" w:ascii="黑体" w:hAnsi="黑体" w:eastAsia="黑体" w:cs="黑体"/>
          <w:sz w:val="32"/>
          <w:szCs w:val="32"/>
          <w:highlight w:val="none"/>
        </w:rPr>
        <w:t>在</w:t>
      </w:r>
      <w:r>
        <w:rPr>
          <w:rFonts w:hint="eastAsia" w:ascii="黑体" w:hAnsi="黑体" w:eastAsia="黑体" w:cs="黑体"/>
          <w:sz w:val="32"/>
          <w:szCs w:val="32"/>
          <w:highlight w:val="none"/>
          <w:lang w:val="en-US" w:eastAsia="zh-CN"/>
        </w:rPr>
        <w:t>南沙</w:t>
      </w:r>
      <w:r>
        <w:rPr>
          <w:rFonts w:hint="eastAsia" w:ascii="黑体" w:hAnsi="黑体" w:eastAsia="黑体" w:cs="黑体"/>
          <w:sz w:val="32"/>
          <w:szCs w:val="32"/>
          <w:highlight w:val="none"/>
        </w:rPr>
        <w:t>区实际办公</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经营场地面积按不低于</w:t>
      </w:r>
      <w:r>
        <w:rPr>
          <w:rFonts w:hint="eastAsia" w:ascii="黑体" w:hAnsi="黑体" w:eastAsia="黑体" w:cs="黑体"/>
          <w:sz w:val="32"/>
          <w:szCs w:val="32"/>
          <w:highlight w:val="none"/>
          <w:lang w:val="en-US" w:eastAsia="zh-CN"/>
        </w:rPr>
        <w:t>单位在本区缴纳社会保险员工人数三分之一、人均10平方米核算）”的具体说明</w:t>
      </w:r>
    </w:p>
    <w:p w14:paraId="4A3291CA">
      <w:pPr>
        <w:spacing w:beforeLines="0" w:afterLines="0" w:line="580" w:lineRule="exact"/>
        <w:ind w:left="0" w:firstLine="640" w:firstLineChars="200"/>
        <w:rPr>
          <w:rFonts w:hint="eastAsia" w:eastAsia="仿宋_GB2312" w:cs="Times New Roman"/>
          <w:i w:val="0"/>
          <w:iCs w:val="0"/>
          <w:caps w:val="0"/>
          <w:spacing w:val="0"/>
          <w:sz w:val="32"/>
          <w:szCs w:val="32"/>
          <w:highlight w:val="none"/>
          <w:shd w:val="clear"/>
          <w:lang w:val="en-US" w:eastAsia="zh-CN"/>
        </w:rPr>
      </w:pPr>
      <w:r>
        <w:rPr>
          <w:rFonts w:hint="eastAsia" w:eastAsia="仿宋_GB2312"/>
          <w:sz w:val="32"/>
          <w:szCs w:val="32"/>
          <w:highlight w:val="none"/>
          <w:lang w:val="en-US" w:eastAsia="zh-CN"/>
        </w:rPr>
        <w:t>（一）</w:t>
      </w:r>
      <w:r>
        <w:rPr>
          <w:rFonts w:hint="default" w:eastAsia="仿宋_GB2312"/>
          <w:sz w:val="32"/>
          <w:szCs w:val="32"/>
          <w:highlight w:val="none"/>
        </w:rPr>
        <w:t>申报单位应为经营场地</w:t>
      </w:r>
      <w:r>
        <w:rPr>
          <w:rFonts w:hint="eastAsia" w:eastAsia="仿宋_GB2312"/>
          <w:sz w:val="32"/>
          <w:szCs w:val="32"/>
          <w:highlight w:val="none"/>
          <w:lang w:val="en-US" w:eastAsia="zh-CN"/>
        </w:rPr>
        <w:t>的</w:t>
      </w:r>
      <w:r>
        <w:rPr>
          <w:rFonts w:hint="default" w:eastAsia="仿宋_GB2312"/>
          <w:sz w:val="32"/>
          <w:szCs w:val="32"/>
          <w:highlight w:val="none"/>
        </w:rPr>
        <w:t>产权人或租赁人，或者申报单位与产权人或租赁人同属一家集团公司（单位）</w:t>
      </w:r>
      <w:r>
        <w:rPr>
          <w:rFonts w:hint="eastAsia" w:eastAsia="仿宋_GB2312" w:cs="Times New Roman"/>
          <w:i w:val="0"/>
          <w:iCs w:val="0"/>
          <w:caps w:val="0"/>
          <w:spacing w:val="0"/>
          <w:sz w:val="32"/>
          <w:szCs w:val="32"/>
          <w:highlight w:val="none"/>
          <w:shd w:val="clear"/>
          <w:lang w:val="en-US" w:eastAsia="zh-CN"/>
        </w:rPr>
        <w:t>。</w:t>
      </w:r>
    </w:p>
    <w:p w14:paraId="4CA789D1">
      <w:pPr>
        <w:spacing w:beforeLines="0" w:afterLines="0" w:line="580" w:lineRule="exact"/>
        <w:ind w:left="0" w:firstLine="640" w:firstLineChars="200"/>
        <w:jc w:val="left"/>
        <w:rPr>
          <w:rFonts w:hint="eastAsia" w:ascii="楷体" w:hAnsi="楷体" w:eastAsia="楷体" w:cs="楷体"/>
          <w:color w:val="auto"/>
          <w:sz w:val="32"/>
          <w:szCs w:val="32"/>
          <w:highlight w:val="none"/>
          <w:lang w:val="en-US" w:eastAsia="zh-CN"/>
        </w:rPr>
      </w:pPr>
      <w:r>
        <w:rPr>
          <w:rFonts w:hint="eastAsia" w:ascii="楷体" w:hAnsi="楷体" w:eastAsia="楷体" w:cs="楷体"/>
          <w:i w:val="0"/>
          <w:iCs w:val="0"/>
          <w:caps w:val="0"/>
          <w:spacing w:val="0"/>
          <w:sz w:val="32"/>
          <w:szCs w:val="32"/>
          <w:highlight w:val="none"/>
          <w:shd w:val="clear"/>
          <w:lang w:val="en-US" w:eastAsia="zh-CN"/>
        </w:rPr>
        <w:t>备注：租赁办公场地的单位须办理租赁备案手续。</w:t>
      </w:r>
      <w:r>
        <w:rPr>
          <w:rFonts w:hint="eastAsia" w:ascii="楷体" w:hAnsi="楷体" w:eastAsia="楷体" w:cs="楷体"/>
          <w:i w:val="0"/>
          <w:iCs w:val="0"/>
          <w:caps w:val="0"/>
          <w:color w:val="auto"/>
          <w:spacing w:val="0"/>
          <w:sz w:val="32"/>
          <w:szCs w:val="32"/>
          <w:highlight w:val="none"/>
          <w:shd w:val="clear"/>
          <w:lang w:val="en-US" w:eastAsia="zh-CN"/>
        </w:rPr>
        <w:t>（建议登录“阳光租房”网http://zfcj.gz.gov.cn/ygzf/，根据操作指引进行租赁备案，</w:t>
      </w:r>
      <w:r>
        <w:rPr>
          <w:rFonts w:hint="eastAsia" w:ascii="楷体" w:hAnsi="楷体" w:eastAsia="楷体" w:cs="楷体"/>
          <w:b w:val="0"/>
          <w:bCs w:val="0"/>
          <w:i w:val="0"/>
          <w:iCs w:val="0"/>
          <w:color w:val="auto"/>
          <w:sz w:val="32"/>
          <w:szCs w:val="32"/>
          <w:highlight w:val="none"/>
          <w:u w:val="none"/>
          <w:lang w:val="en-US" w:eastAsia="zh-CN"/>
        </w:rPr>
        <w:t>打印时间不早于2025年</w:t>
      </w:r>
      <w:r>
        <w:rPr>
          <w:rFonts w:hint="eastAsia" w:ascii="楷体" w:hAnsi="楷体" w:eastAsia="楷体" w:cs="楷体"/>
          <w:b w:val="0"/>
          <w:bCs w:val="0"/>
          <w:i w:val="0"/>
          <w:iCs w:val="0"/>
          <w:sz w:val="32"/>
          <w:szCs w:val="32"/>
          <w:highlight w:val="none"/>
          <w:u w:val="none"/>
          <w:lang w:val="en-US" w:eastAsia="zh-CN"/>
        </w:rPr>
        <w:t>1</w:t>
      </w:r>
      <w:r>
        <w:rPr>
          <w:rFonts w:hint="eastAsia" w:ascii="楷体" w:hAnsi="楷体" w:eastAsia="楷体" w:cs="楷体"/>
          <w:b w:val="0"/>
          <w:bCs w:val="0"/>
          <w:i w:val="0"/>
          <w:iCs w:val="0"/>
          <w:color w:val="auto"/>
          <w:sz w:val="32"/>
          <w:szCs w:val="32"/>
          <w:highlight w:val="none"/>
          <w:u w:val="none"/>
          <w:lang w:val="en-US" w:eastAsia="zh-CN"/>
        </w:rPr>
        <w:t>月</w:t>
      </w:r>
      <w:r>
        <w:rPr>
          <w:rFonts w:hint="eastAsia" w:ascii="楷体" w:hAnsi="楷体" w:eastAsia="楷体" w:cs="楷体"/>
          <w:b w:val="0"/>
          <w:bCs w:val="0"/>
          <w:i w:val="0"/>
          <w:iCs w:val="0"/>
          <w:sz w:val="32"/>
          <w:szCs w:val="32"/>
          <w:highlight w:val="none"/>
          <w:u w:val="none"/>
          <w:lang w:val="en-US" w:eastAsia="zh-CN"/>
        </w:rPr>
        <w:t>13</w:t>
      </w:r>
      <w:r>
        <w:rPr>
          <w:rFonts w:hint="eastAsia" w:ascii="楷体" w:hAnsi="楷体" w:eastAsia="楷体" w:cs="楷体"/>
          <w:b w:val="0"/>
          <w:bCs w:val="0"/>
          <w:i w:val="0"/>
          <w:iCs w:val="0"/>
          <w:color w:val="auto"/>
          <w:sz w:val="32"/>
          <w:szCs w:val="32"/>
          <w:highlight w:val="none"/>
          <w:u w:val="none"/>
          <w:lang w:val="en-US" w:eastAsia="zh-CN"/>
        </w:rPr>
        <w:t>日</w:t>
      </w:r>
      <w:r>
        <w:rPr>
          <w:rFonts w:hint="eastAsia" w:ascii="楷体" w:hAnsi="楷体" w:eastAsia="楷体" w:cs="楷体"/>
          <w:i w:val="0"/>
          <w:iCs w:val="0"/>
          <w:caps w:val="0"/>
          <w:color w:val="auto"/>
          <w:spacing w:val="0"/>
          <w:sz w:val="32"/>
          <w:szCs w:val="32"/>
          <w:highlight w:val="none"/>
          <w:shd w:val="clear"/>
          <w:lang w:val="en-US" w:eastAsia="zh-CN"/>
        </w:rPr>
        <w:t>）</w:t>
      </w:r>
    </w:p>
    <w:p w14:paraId="21D3CC7F">
      <w:pPr>
        <w:numPr>
          <w:ilvl w:val="-1"/>
          <w:numId w:val="0"/>
        </w:numPr>
        <w:spacing w:beforeLines="0" w:afterLines="0" w:line="580" w:lineRule="exact"/>
        <w:ind w:left="0" w:firstLine="420" w:firstLineChars="200"/>
        <w:rPr>
          <w:rFonts w:hint="default" w:ascii="Times New Roman" w:hAnsi="Times New Roman" w:eastAsia="仿宋_GB2312" w:cs="Times New Roman"/>
          <w:sz w:val="32"/>
          <w:szCs w:val="32"/>
          <w:highlight w:val="none"/>
          <w:lang w:val="en-US" w:eastAsia="zh-CN"/>
        </w:rPr>
      </w:pPr>
      <w:r>
        <w:rPr>
          <w:rFonts w:ascii="Times New Roman" w:hAnsi="Times New Roman" w:cs="Times New Roman"/>
          <w:highlight w:val="none"/>
        </w:rPr>
        <w:drawing>
          <wp:anchor distT="0" distB="0" distL="114300" distR="114300" simplePos="0" relativeHeight="251661312" behindDoc="0" locked="0" layoutInCell="1" allowOverlap="1">
            <wp:simplePos x="0" y="0"/>
            <wp:positionH relativeFrom="column">
              <wp:posOffset>99695</wp:posOffset>
            </wp:positionH>
            <wp:positionV relativeFrom="paragraph">
              <wp:posOffset>78105</wp:posOffset>
            </wp:positionV>
            <wp:extent cx="5133975" cy="510540"/>
            <wp:effectExtent l="0" t="0" r="9525" b="381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133975" cy="510540"/>
                    </a:xfrm>
                    <a:prstGeom prst="rect">
                      <a:avLst/>
                    </a:prstGeom>
                    <a:noFill/>
                    <a:ln>
                      <a:noFill/>
                    </a:ln>
                  </pic:spPr>
                </pic:pic>
              </a:graphicData>
            </a:graphic>
          </wp:anchor>
        </w:drawing>
      </w:r>
    </w:p>
    <w:p w14:paraId="2F0F4994">
      <w:pPr>
        <w:numPr>
          <w:ilvl w:val="-1"/>
          <w:numId w:val="0"/>
        </w:numPr>
        <w:spacing w:beforeLines="0" w:afterLines="0" w:line="580" w:lineRule="exact"/>
        <w:ind w:left="0" w:firstLine="640" w:firstLineChars="200"/>
        <w:rPr>
          <w:rFonts w:hint="default" w:ascii="Times New Roman" w:hAnsi="Times New Roman" w:eastAsia="仿宋_GB2312" w:cs="Times New Roman"/>
          <w:sz w:val="32"/>
          <w:szCs w:val="32"/>
          <w:highlight w:val="none"/>
          <w:lang w:val="en-US" w:eastAsia="zh-CN"/>
        </w:rPr>
      </w:pPr>
    </w:p>
    <w:p w14:paraId="7BB6E8F6">
      <w:pPr>
        <w:spacing w:beforeLines="0" w:afterLines="0" w:line="580" w:lineRule="exact"/>
        <w:ind w:left="0" w:firstLine="640" w:firstLineChars="200"/>
        <w:jc w:val="left"/>
        <w:rPr>
          <w:rFonts w:hint="eastAsia" w:ascii="楷体" w:hAnsi="楷体" w:eastAsia="楷体" w:cs="楷体"/>
          <w:sz w:val="32"/>
          <w:szCs w:val="32"/>
          <w:highlight w:val="none"/>
          <w:lang w:val="en-US" w:eastAsia="zh-CN"/>
        </w:rPr>
      </w:pPr>
    </w:p>
    <w:p w14:paraId="78BAACD2">
      <w:pPr>
        <w:numPr>
          <w:ilvl w:val="-1"/>
          <w:numId w:val="0"/>
        </w:numPr>
        <w:spacing w:beforeLines="0" w:afterLines="0" w:line="580" w:lineRule="exact"/>
        <w:ind w:left="0"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（二）</w:t>
      </w:r>
      <w:r>
        <w:rPr>
          <w:rFonts w:hint="default" w:ascii="Times New Roman" w:hAnsi="Times New Roman" w:eastAsia="仿宋_GB2312" w:cs="Times New Roman"/>
          <w:i w:val="0"/>
          <w:iCs w:val="0"/>
          <w:caps w:val="0"/>
          <w:spacing w:val="0"/>
          <w:sz w:val="32"/>
          <w:szCs w:val="32"/>
          <w:highlight w:val="none"/>
          <w:shd w:val="clear"/>
          <w:lang w:val="en-US" w:eastAsia="zh-CN"/>
        </w:rPr>
        <w:t>在本区缴纳</w:t>
      </w:r>
      <w:r>
        <w:rPr>
          <w:rFonts w:hint="eastAsia" w:ascii="Times New Roman" w:hAnsi="Times New Roman" w:eastAsia="仿宋_GB2312" w:cs="Times New Roman"/>
          <w:i w:val="0"/>
          <w:iCs w:val="0"/>
          <w:caps w:val="0"/>
          <w:spacing w:val="0"/>
          <w:sz w:val="32"/>
          <w:szCs w:val="32"/>
          <w:highlight w:val="none"/>
          <w:shd w:val="clear"/>
          <w:lang w:val="en-US" w:eastAsia="zh-CN"/>
        </w:rPr>
        <w:t>社会保险</w:t>
      </w:r>
      <w:r>
        <w:rPr>
          <w:rFonts w:hint="default" w:ascii="Times New Roman" w:hAnsi="Times New Roman" w:eastAsia="仿宋_GB2312" w:cs="Times New Roman"/>
          <w:i w:val="0"/>
          <w:iCs w:val="0"/>
          <w:caps w:val="0"/>
          <w:spacing w:val="0"/>
          <w:sz w:val="32"/>
          <w:szCs w:val="32"/>
          <w:highlight w:val="none"/>
          <w:shd w:val="clear"/>
          <w:lang w:val="en-US" w:eastAsia="zh-CN"/>
        </w:rPr>
        <w:t>员工人数</w:t>
      </w:r>
      <w:r>
        <w:rPr>
          <w:rFonts w:hint="eastAsia" w:eastAsia="仿宋_GB2312" w:cs="Times New Roman"/>
          <w:i w:val="0"/>
          <w:iCs w:val="0"/>
          <w:caps w:val="0"/>
          <w:spacing w:val="0"/>
          <w:sz w:val="32"/>
          <w:szCs w:val="32"/>
          <w:highlight w:val="none"/>
          <w:shd w:val="clear"/>
          <w:lang w:val="en-US" w:eastAsia="zh-CN"/>
        </w:rPr>
        <w:t>，产权及租赁情况同属一家集团公司（单位）的情况，</w:t>
      </w:r>
      <w:r>
        <w:rPr>
          <w:rFonts w:hint="default" w:ascii="Times New Roman" w:hAnsi="Times New Roman" w:eastAsia="仿宋_GB2312" w:cs="Times New Roman"/>
          <w:i w:val="0"/>
          <w:iCs w:val="0"/>
          <w:caps w:val="0"/>
          <w:spacing w:val="0"/>
          <w:sz w:val="32"/>
          <w:szCs w:val="32"/>
          <w:highlight w:val="none"/>
          <w:shd w:val="clear"/>
          <w:lang w:val="en-US" w:eastAsia="zh-CN"/>
        </w:rPr>
        <w:t>以申报指南发布的上一月数据为准</w:t>
      </w:r>
      <w:r>
        <w:rPr>
          <w:rFonts w:hint="eastAsia" w:eastAsia="仿宋_GB2312" w:cs="Times New Roman"/>
          <w:i w:val="0"/>
          <w:iCs w:val="0"/>
          <w:caps w:val="0"/>
          <w:spacing w:val="0"/>
          <w:sz w:val="32"/>
          <w:szCs w:val="32"/>
          <w:highlight w:val="none"/>
          <w:shd w:val="clear"/>
          <w:lang w:val="en-US" w:eastAsia="zh-CN"/>
        </w:rPr>
        <w:t>。</w:t>
      </w:r>
    </w:p>
    <w:p w14:paraId="47311A83">
      <w:pPr>
        <w:spacing w:beforeLines="0" w:afterLines="0" w:line="580" w:lineRule="exact"/>
        <w:ind w:firstLine="640" w:firstLineChars="200"/>
        <w:jc w:val="left"/>
        <w:rPr>
          <w:rFonts w:hint="eastAsia" w:ascii="楷体" w:hAnsi="楷体" w:eastAsia="楷体" w:cs="楷体"/>
          <w:strike w:val="0"/>
          <w:dstrike w:val="0"/>
          <w:sz w:val="32"/>
          <w:szCs w:val="32"/>
          <w:highlight w:val="none"/>
          <w:u w:val="none"/>
          <w:lang w:val="en-US" w:eastAsia="zh-CN"/>
        </w:rPr>
      </w:pPr>
      <w:r>
        <w:rPr>
          <w:rFonts w:hint="eastAsia" w:ascii="楷体" w:hAnsi="楷体" w:eastAsia="楷体" w:cs="楷体"/>
          <w:kern w:val="2"/>
          <w:sz w:val="32"/>
          <w:szCs w:val="32"/>
          <w:highlight w:val="none"/>
          <w:lang w:val="en-US" w:eastAsia="zh-CN" w:bidi="ar-SA"/>
        </w:rPr>
        <w:t>例：A单位2024年12月在南沙</w:t>
      </w:r>
      <w:r>
        <w:rPr>
          <w:rFonts w:hint="eastAsia" w:ascii="楷体" w:hAnsi="楷体" w:eastAsia="楷体" w:cs="楷体"/>
          <w:sz w:val="32"/>
          <w:szCs w:val="32"/>
          <w:highlight w:val="none"/>
          <w:lang w:eastAsia="zh-CN"/>
        </w:rPr>
        <w:t>区</w:t>
      </w:r>
      <w:r>
        <w:rPr>
          <w:rFonts w:hint="eastAsia" w:ascii="楷体" w:hAnsi="楷体" w:eastAsia="楷体" w:cs="楷体"/>
          <w:sz w:val="32"/>
          <w:szCs w:val="32"/>
          <w:highlight w:val="none"/>
          <w:lang w:val="en-US" w:eastAsia="zh-CN"/>
        </w:rPr>
        <w:t>社会保险</w:t>
      </w:r>
      <w:r>
        <w:rPr>
          <w:rFonts w:hint="eastAsia" w:ascii="楷体" w:hAnsi="楷体" w:eastAsia="楷体" w:cs="楷体"/>
          <w:sz w:val="32"/>
          <w:szCs w:val="32"/>
          <w:highlight w:val="none"/>
          <w:lang w:eastAsia="zh-CN"/>
        </w:rPr>
        <w:t>申报人数共</w:t>
      </w:r>
      <w:r>
        <w:rPr>
          <w:rFonts w:hint="eastAsia" w:ascii="楷体" w:hAnsi="楷体" w:eastAsia="楷体" w:cs="楷体"/>
          <w:sz w:val="32"/>
          <w:szCs w:val="32"/>
          <w:highlight w:val="none"/>
          <w:lang w:val="en-US" w:eastAsia="zh-CN"/>
        </w:rPr>
        <w:t>166人次，则A单位须</w:t>
      </w:r>
      <w:r>
        <w:rPr>
          <w:rFonts w:hint="eastAsia" w:ascii="楷体" w:hAnsi="楷体" w:eastAsia="楷体" w:cs="楷体"/>
          <w:sz w:val="32"/>
          <w:szCs w:val="32"/>
          <w:highlight w:val="none"/>
          <w:u w:val="none"/>
          <w:lang w:val="en-US" w:eastAsia="zh-CN"/>
        </w:rPr>
        <w:t>满足以下实际办公条件</w:t>
      </w:r>
      <w:r>
        <w:rPr>
          <w:rFonts w:hint="eastAsia" w:ascii="楷体" w:hAnsi="楷体" w:eastAsia="楷体" w:cs="楷体"/>
          <w:strike w:val="0"/>
          <w:dstrike w:val="0"/>
          <w:sz w:val="32"/>
          <w:szCs w:val="32"/>
          <w:highlight w:val="none"/>
          <w:u w:val="none"/>
          <w:lang w:val="en-US" w:eastAsia="zh-CN"/>
        </w:rPr>
        <w:t>：</w:t>
      </w:r>
    </w:p>
    <w:p w14:paraId="3926F16F">
      <w:pPr>
        <w:spacing w:beforeLines="0" w:afterLines="0" w:line="580" w:lineRule="exact"/>
        <w:ind w:left="0" w:leftChars="0" w:firstLine="640" w:firstLineChars="200"/>
        <w:jc w:val="left"/>
        <w:rPr>
          <w:rFonts w:hint="eastAsia" w:ascii="楷体" w:hAnsi="楷体" w:eastAsia="楷体" w:cs="楷体"/>
          <w:sz w:val="32"/>
          <w:szCs w:val="32"/>
          <w:highlight w:val="none"/>
          <w:lang w:val="en-US" w:eastAsia="zh-CN"/>
        </w:rPr>
      </w:pPr>
      <w:r>
        <w:rPr>
          <w:rFonts w:hint="eastAsia" w:ascii="楷体" w:hAnsi="楷体" w:eastAsia="楷体" w:cs="楷体"/>
          <w:position w:val="-24"/>
          <w:sz w:val="32"/>
          <w:szCs w:val="32"/>
          <w:highlight w:val="none"/>
          <w:u w:val="none"/>
          <w:lang w:val="en-US" w:eastAsia="zh-CN"/>
        </w:rPr>
        <w:pict>
          <v:shape id="_x0000_s1026" o:spid="_x0000_s1026" o:spt="75" type="#_x0000_t75" style="position:absolute;left:0pt;margin-left:194.95pt;margin-top:27.2pt;height:37.2pt;width:101.8pt;z-index:251660288;mso-width-relative:page;mso-height-relative:page;" o:ole="t" filled="f" o:preferrelative="t" stroked="f" coordsize="21600,21600">
            <v:path/>
            <v:fill on="f" focussize="0,0"/>
            <v:stroke on="f"/>
            <v:imagedata r:id="rId7" o:title=""/>
            <o:lock v:ext="edit" aspectratio="t"/>
          </v:shape>
          <o:OLEObject Type="Embed" ProgID="Equation.KSEE3" ShapeID="_x0000_s1026" DrawAspect="Content" ObjectID="_1468075725" r:id="rId6">
            <o:LockedField>false</o:LockedField>
          </o:OLEObject>
        </w:pict>
      </w:r>
      <w:r>
        <w:rPr>
          <w:rFonts w:hint="eastAsia" w:ascii="楷体" w:hAnsi="楷体" w:eastAsia="楷体" w:cs="楷体"/>
          <w:kern w:val="2"/>
          <w:sz w:val="32"/>
          <w:szCs w:val="32"/>
          <w:highlight w:val="none"/>
          <w:lang w:val="en-US" w:eastAsia="zh-CN" w:bidi="ar-SA"/>
        </w:rPr>
        <w:t>A单位在南沙</w:t>
      </w:r>
      <w:r>
        <w:rPr>
          <w:rFonts w:hint="eastAsia" w:ascii="楷体" w:hAnsi="楷体" w:eastAsia="楷体" w:cs="楷体"/>
          <w:sz w:val="32"/>
          <w:szCs w:val="32"/>
          <w:highlight w:val="none"/>
          <w:lang w:eastAsia="zh-CN"/>
        </w:rPr>
        <w:t>区</w:t>
      </w:r>
      <w:r>
        <w:rPr>
          <w:rFonts w:hint="eastAsia" w:ascii="楷体" w:hAnsi="楷体" w:eastAsia="楷体" w:cs="楷体"/>
          <w:sz w:val="32"/>
          <w:szCs w:val="32"/>
          <w:highlight w:val="none"/>
          <w:lang w:val="en-US" w:eastAsia="zh-CN"/>
        </w:rPr>
        <w:t>所有不动产权、租赁办公场地和合法使用证明</w:t>
      </w:r>
      <w:r>
        <w:rPr>
          <w:rFonts w:hint="eastAsia" w:ascii="楷体" w:hAnsi="楷体" w:eastAsia="楷体" w:cs="楷体"/>
          <w:sz w:val="32"/>
          <w:szCs w:val="32"/>
          <w:highlight w:val="none"/>
          <w:lang w:eastAsia="zh-CN"/>
        </w:rPr>
        <w:t>面积</w:t>
      </w:r>
      <w:r>
        <w:rPr>
          <w:rFonts w:hint="eastAsia" w:ascii="楷体" w:hAnsi="楷体" w:eastAsia="楷体" w:cs="楷体"/>
          <w:sz w:val="32"/>
          <w:szCs w:val="32"/>
          <w:highlight w:val="none"/>
          <w:lang w:val="en-US" w:eastAsia="zh-CN"/>
        </w:rPr>
        <w:t>总和</w:t>
      </w:r>
      <w:r>
        <w:rPr>
          <w:rFonts w:hint="eastAsia" w:ascii="楷体" w:hAnsi="楷体" w:eastAsia="楷体" w:cs="楷体"/>
          <w:sz w:val="32"/>
          <w:szCs w:val="32"/>
          <w:highlight w:val="none"/>
          <w:lang w:eastAsia="zh-CN"/>
        </w:rPr>
        <w:t>须</w:t>
      </w:r>
      <w:r>
        <w:rPr>
          <w:rFonts w:hint="eastAsia" w:ascii="楷体" w:hAnsi="楷体" w:eastAsia="楷体" w:cs="楷体"/>
          <w:sz w:val="32"/>
          <w:szCs w:val="32"/>
          <w:highlight w:val="none"/>
          <w:lang w:val="en-US" w:eastAsia="zh-CN"/>
        </w:rPr>
        <w:t>大于等于             平方米（向上个位取整）。</w:t>
      </w:r>
    </w:p>
    <w:p w14:paraId="1043F362">
      <w:pPr>
        <w:spacing w:beforeLines="0" w:afterLines="0" w:line="580" w:lineRule="exact"/>
        <w:ind w:left="0" w:leftChars="0" w:firstLine="640" w:firstLineChars="200"/>
        <w:jc w:val="left"/>
        <w:rPr>
          <w:rFonts w:hint="eastAsia" w:ascii="楷体" w:hAnsi="楷体" w:eastAsia="楷体" w:cs="楷体"/>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（三）其中可用于核算办公面积的租赁场地性质需为用途办公、商业用房、工业仓储用房，普通住宅、车位、车库等性质不算入办公面积核算范围。</w:t>
      </w:r>
    </w:p>
    <w:p w14:paraId="04419B65">
      <w:pPr>
        <w:numPr>
          <w:ilvl w:val="0"/>
          <w:numId w:val="0"/>
        </w:numPr>
        <w:spacing w:beforeLines="0" w:afterLines="0" w:line="580" w:lineRule="exact"/>
        <w:ind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三、科研机构指由区科技部门认定，在本区从事</w:t>
      </w:r>
      <w:r>
        <w:rPr>
          <w:rFonts w:hint="eastAsia" w:ascii="黑体" w:hAnsi="黑体" w:eastAsia="黑体" w:cs="黑体"/>
          <w:sz w:val="32"/>
          <w:highlight w:val="none"/>
        </w:rPr>
        <w:t>科学研究活动</w:t>
      </w:r>
      <w:r>
        <w:rPr>
          <w:rFonts w:hint="eastAsia" w:ascii="黑体" w:hAnsi="黑体" w:eastAsia="黑体" w:cs="黑体"/>
          <w:sz w:val="32"/>
          <w:highlight w:val="none"/>
          <w:lang w:val="en-US" w:eastAsia="zh-CN"/>
        </w:rPr>
        <w:t>的事业单位或民办非企业单位。</w:t>
      </w:r>
    </w:p>
    <w:p w14:paraId="04A9529F">
      <w:pPr>
        <w:numPr>
          <w:ilvl w:val="0"/>
          <w:numId w:val="0"/>
        </w:numPr>
        <w:spacing w:beforeLines="0" w:afterLines="0" w:line="580" w:lineRule="exact"/>
        <w:ind w:firstLine="640" w:firstLineChars="200"/>
        <w:jc w:val="left"/>
        <w:rPr>
          <w:rFonts w:hint="eastAsia" w:ascii="黑体" w:hAnsi="黑体" w:eastAsia="黑体" w:cs="黑体"/>
          <w:sz w:val="32"/>
          <w:highlight w:val="none"/>
        </w:rPr>
      </w:pPr>
      <w:r>
        <w:rPr>
          <w:rFonts w:hint="eastAsia" w:ascii="黑体" w:hAnsi="黑体" w:eastAsia="黑体" w:cs="黑体"/>
          <w:sz w:val="32"/>
          <w:highlight w:val="none"/>
          <w:lang w:val="en-US" w:eastAsia="zh-CN"/>
        </w:rPr>
        <w:t>四、</w:t>
      </w:r>
      <w:r>
        <w:rPr>
          <w:rFonts w:hint="eastAsia" w:ascii="黑体" w:hAnsi="黑体" w:eastAsia="黑体" w:cs="黑体"/>
          <w:sz w:val="32"/>
          <w:highlight w:val="none"/>
        </w:rPr>
        <w:t>区属国企的界定</w:t>
      </w:r>
      <w:r>
        <w:rPr>
          <w:rFonts w:hint="eastAsia" w:ascii="黑体" w:hAnsi="黑体" w:eastAsia="黑体" w:cs="黑体"/>
          <w:sz w:val="32"/>
          <w:highlight w:val="none"/>
          <w:lang w:val="en-US" w:eastAsia="zh-CN"/>
        </w:rPr>
        <w:t>标准以开发区国资局认定为准。</w:t>
      </w:r>
    </w:p>
    <w:p w14:paraId="132DC27C">
      <w:pPr>
        <w:numPr>
          <w:ilvl w:val="0"/>
          <w:numId w:val="0"/>
        </w:numPr>
        <w:spacing w:beforeLines="0" w:afterLines="0" w:line="580" w:lineRule="exact"/>
        <w:ind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五、“</w:t>
      </w:r>
      <w:r>
        <w:rPr>
          <w:rFonts w:hint="default" w:ascii="黑体" w:hAnsi="黑体" w:eastAsia="黑体" w:cs="黑体"/>
          <w:sz w:val="32"/>
          <w:highlight w:val="none"/>
          <w:lang w:val="en-US" w:eastAsia="zh-CN"/>
        </w:rPr>
        <w:t>与本区签订协议（应经管委会或区政府审定）的重点招商引资项目</w:t>
      </w:r>
      <w:r>
        <w:rPr>
          <w:rFonts w:hint="eastAsia" w:ascii="黑体" w:hAnsi="黑体" w:eastAsia="黑体" w:cs="黑体"/>
          <w:sz w:val="32"/>
          <w:highlight w:val="none"/>
          <w:lang w:val="en-US" w:eastAsia="zh-CN"/>
        </w:rPr>
        <w:t>”由区国资局、区住建局、区商务局、区投促局、区发改局、区文广旅局、区工信局、区科技局等行业主管部门认定。</w:t>
      </w:r>
    </w:p>
    <w:p w14:paraId="74A90CE6">
      <w:pPr>
        <w:numPr>
          <w:ilvl w:val="0"/>
          <w:numId w:val="0"/>
        </w:numPr>
        <w:spacing w:beforeLines="0" w:afterLines="0" w:line="580" w:lineRule="exact"/>
        <w:ind w:firstLine="640" w:firstLineChars="200"/>
        <w:jc w:val="both"/>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六、“中央、省属、市属驻区单位”中合资企业界定标准为“申报指南发布的上一月中央、广东省、广州市国资持股比例超过</w:t>
      </w:r>
      <w:r>
        <w:rPr>
          <w:rFonts w:hint="default" w:ascii="黑体" w:hAnsi="黑体" w:eastAsia="黑体" w:cs="黑体"/>
          <w:sz w:val="32"/>
          <w:highlight w:val="none"/>
          <w:lang w:val="en-US" w:eastAsia="zh-CN"/>
        </w:rPr>
        <w:t>50%</w:t>
      </w:r>
      <w:r>
        <w:rPr>
          <w:rFonts w:hint="eastAsia" w:ascii="黑体" w:hAnsi="黑体" w:eastAsia="黑体" w:cs="黑体"/>
          <w:sz w:val="32"/>
          <w:highlight w:val="none"/>
          <w:lang w:val="en-US" w:eastAsia="zh-CN"/>
        </w:rPr>
        <w:t>”。</w:t>
      </w:r>
    </w:p>
    <w:p w14:paraId="0E6BAF01">
      <w:pPr>
        <w:numPr>
          <w:ilvl w:val="0"/>
          <w:numId w:val="0"/>
        </w:numPr>
        <w:spacing w:beforeLines="0" w:afterLines="0" w:line="580" w:lineRule="exact"/>
        <w:ind w:firstLine="640" w:firstLineChars="200"/>
        <w:rPr>
          <w:rFonts w:hint="eastAsia"/>
          <w:highlight w:val="none"/>
          <w:lang w:val="en-US" w:eastAsia="zh-CN"/>
        </w:rPr>
      </w:pPr>
      <w:r>
        <w:rPr>
          <w:rFonts w:hint="default" w:ascii="Times New Roman" w:hAnsi="Times New Roman" w:eastAsia="仿宋_GB2312" w:cs="Times New Roman"/>
          <w:sz w:val="32"/>
          <w:szCs w:val="32"/>
          <w:highlight w:val="none"/>
        </w:rPr>
        <w:t>驻区单位可通过国务院、广东省人民政府或广州市人民政府国有资产监督管理委员会官网查询上级单位是否属于央企、省属企业或市直接监管企业</w:t>
      </w:r>
      <w:r>
        <w:rPr>
          <w:rFonts w:hint="eastAsia" w:ascii="Times New Roman" w:hAnsi="Times New Roman" w:eastAsia="仿宋_GB2312" w:cs="Times New Roman"/>
          <w:sz w:val="32"/>
          <w:szCs w:val="32"/>
          <w:highlight w:val="none"/>
          <w:lang w:eastAsia="zh-CN"/>
        </w:rPr>
        <w:t>。</w:t>
      </w:r>
    </w:p>
    <w:p w14:paraId="3241B448">
      <w:pPr>
        <w:spacing w:beforeLines="0" w:afterLines="0" w:line="580" w:lineRule="exact"/>
        <w:ind w:firstLine="640" w:firstLineChars="200"/>
        <w:jc w:val="left"/>
        <w:rPr>
          <w:rFonts w:hint="default" w:ascii="黑体" w:hAnsi="黑体" w:eastAsia="黑体" w:cs="黑体"/>
          <w:sz w:val="32"/>
          <w:highlight w:val="none"/>
          <w:lang w:val="en-US" w:eastAsia="zh-CN"/>
        </w:rPr>
      </w:pPr>
      <w:r>
        <w:rPr>
          <w:rFonts w:hint="eastAsia" w:ascii="黑体" w:hAnsi="黑体" w:eastAsia="黑体" w:cs="黑体"/>
          <w:sz w:val="32"/>
          <w:highlight w:val="none"/>
          <w:lang w:val="en-US" w:eastAsia="zh-CN"/>
        </w:rPr>
        <w:t>七、关于</w:t>
      </w:r>
      <w:r>
        <w:rPr>
          <w:rFonts w:hint="default" w:ascii="黑体" w:hAnsi="黑体" w:eastAsia="黑体" w:cs="黑体"/>
          <w:sz w:val="32"/>
          <w:highlight w:val="none"/>
          <w:lang w:val="en-US" w:eastAsia="zh-CN"/>
        </w:rPr>
        <w:t>“</w:t>
      </w:r>
      <w:r>
        <w:rPr>
          <w:rFonts w:hint="eastAsia" w:ascii="黑体" w:hAnsi="黑体" w:eastAsia="黑体" w:cs="黑体"/>
          <w:sz w:val="32"/>
          <w:highlight w:val="none"/>
          <w:lang w:val="en-US" w:eastAsia="zh-CN"/>
        </w:rPr>
        <w:t>申请人数不得超过其上年度12月份在本区缴纳社会保险人数的10%比例</w:t>
      </w:r>
      <w:r>
        <w:rPr>
          <w:rFonts w:hint="default" w:ascii="黑体" w:hAnsi="黑体" w:eastAsia="黑体" w:cs="黑体"/>
          <w:sz w:val="32"/>
          <w:highlight w:val="none"/>
          <w:lang w:val="en-US" w:eastAsia="zh-CN"/>
        </w:rPr>
        <w:t>”的具体说明</w:t>
      </w:r>
    </w:p>
    <w:p w14:paraId="47A7ED5E">
      <w:pPr>
        <w:spacing w:beforeLines="0" w:afterLines="0" w:line="580" w:lineRule="exact"/>
        <w:ind w:firstLine="640" w:firstLineChars="20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如申请2023年度骨干人才奖，则同一企业提交的申请人数，不得超过该企业2022年12月在南沙区缴纳社会保险人数的10%比例。</w:t>
      </w:r>
    </w:p>
    <w:p w14:paraId="4EFE4580">
      <w:pPr>
        <w:spacing w:beforeLines="0" w:afterLines="0" w:line="580" w:lineRule="exact"/>
        <w:ind w:firstLine="640" w:firstLineChars="200"/>
        <w:jc w:val="left"/>
        <w:rPr>
          <w:rFonts w:hint="default" w:ascii="Times New Roman" w:hAnsi="Times New Roman" w:eastAsia="仿宋_GB2312" w:cs="Times New Roman"/>
          <w:sz w:val="32"/>
          <w:szCs w:val="32"/>
          <w:highlight w:val="none"/>
          <w:lang w:val="en-US" w:eastAsia="zh-CN"/>
        </w:rPr>
      </w:pPr>
      <w:r>
        <w:rPr>
          <w:rFonts w:hint="eastAsia" w:ascii="楷体" w:hAnsi="楷体" w:eastAsia="楷体" w:cs="楷体"/>
          <w:kern w:val="2"/>
          <w:sz w:val="32"/>
          <w:szCs w:val="32"/>
          <w:highlight w:val="none"/>
          <w:lang w:val="en-US" w:eastAsia="zh-CN" w:bidi="ar-SA"/>
        </w:rPr>
        <w:t>例：A单位2022年12月在南沙</w:t>
      </w:r>
      <w:r>
        <w:rPr>
          <w:rFonts w:hint="eastAsia" w:ascii="楷体" w:hAnsi="楷体" w:eastAsia="楷体" w:cs="楷体"/>
          <w:sz w:val="32"/>
          <w:szCs w:val="32"/>
          <w:highlight w:val="none"/>
          <w:lang w:eastAsia="zh-CN"/>
        </w:rPr>
        <w:t>区</w:t>
      </w:r>
      <w:r>
        <w:rPr>
          <w:rFonts w:hint="eastAsia" w:ascii="楷体" w:hAnsi="楷体" w:eastAsia="楷体" w:cs="楷体"/>
          <w:sz w:val="32"/>
          <w:szCs w:val="32"/>
          <w:highlight w:val="none"/>
          <w:lang w:val="en-US" w:eastAsia="zh-CN"/>
        </w:rPr>
        <w:t>社会保险</w:t>
      </w:r>
      <w:r>
        <w:rPr>
          <w:rFonts w:hint="eastAsia" w:ascii="楷体" w:hAnsi="楷体" w:eastAsia="楷体" w:cs="楷体"/>
          <w:sz w:val="32"/>
          <w:szCs w:val="32"/>
          <w:highlight w:val="none"/>
          <w:lang w:eastAsia="zh-CN"/>
        </w:rPr>
        <w:t>申报人数共</w:t>
      </w:r>
      <w:r>
        <w:rPr>
          <w:rFonts w:hint="eastAsia" w:ascii="楷体" w:hAnsi="楷体" w:eastAsia="楷体" w:cs="楷体"/>
          <w:sz w:val="32"/>
          <w:szCs w:val="32"/>
          <w:highlight w:val="none"/>
          <w:lang w:val="en-US" w:eastAsia="zh-CN"/>
        </w:rPr>
        <w:t>166人，则A单位申报人数不得超过</w:t>
      </w:r>
      <w:r>
        <w:rPr>
          <w:rFonts w:hint="eastAsia" w:ascii="楷体" w:hAnsi="楷体" w:eastAsia="楷体" w:cs="楷体"/>
          <w:strike w:val="0"/>
          <w:dstrike w:val="0"/>
          <w:sz w:val="32"/>
          <w:szCs w:val="32"/>
          <w:highlight w:val="none"/>
          <w:u w:val="none"/>
          <w:lang w:val="en-US" w:eastAsia="zh-CN"/>
        </w:rPr>
        <w:t>：166</w:t>
      </w:r>
      <w:r>
        <w:rPr>
          <w:rFonts w:hint="default" w:ascii="Arial" w:hAnsi="Arial" w:eastAsia="楷体" w:cs="Arial"/>
          <w:strike w:val="0"/>
          <w:dstrike w:val="0"/>
          <w:sz w:val="32"/>
          <w:szCs w:val="32"/>
          <w:highlight w:val="none"/>
          <w:u w:val="none"/>
          <w:lang w:val="en-US" w:eastAsia="zh-CN"/>
        </w:rPr>
        <w:t>×</w:t>
      </w:r>
      <w:r>
        <w:rPr>
          <w:rFonts w:hint="eastAsia" w:ascii="楷体" w:hAnsi="楷体" w:eastAsia="楷体" w:cs="楷体"/>
          <w:strike w:val="0"/>
          <w:dstrike w:val="0"/>
          <w:sz w:val="32"/>
          <w:szCs w:val="32"/>
          <w:highlight w:val="none"/>
          <w:u w:val="none"/>
          <w:lang w:val="en-US" w:eastAsia="zh-CN"/>
        </w:rPr>
        <w:t>10%≈16人</w:t>
      </w:r>
      <w:r>
        <w:rPr>
          <w:rFonts w:hint="eastAsia" w:ascii="楷体" w:hAnsi="楷体" w:eastAsia="楷体" w:cs="楷体"/>
          <w:sz w:val="32"/>
          <w:szCs w:val="32"/>
          <w:highlight w:val="none"/>
          <w:lang w:val="en-US" w:eastAsia="zh-CN"/>
        </w:rPr>
        <w:t>（因申请人数不得超过10%，向下取整）。</w:t>
      </w:r>
    </w:p>
    <w:p w14:paraId="0383AE83">
      <w:pPr>
        <w:spacing w:beforeLines="0" w:afterLines="0" w:line="580" w:lineRule="exact"/>
        <w:ind w:firstLine="640" w:firstLineChars="200"/>
        <w:jc w:val="left"/>
        <w:rPr>
          <w:rFonts w:hint="default" w:ascii="黑体" w:hAnsi="黑体" w:eastAsia="黑体" w:cs="黑体"/>
          <w:sz w:val="32"/>
          <w:highlight w:val="none"/>
          <w:lang w:val="en-US" w:eastAsia="zh-CN"/>
        </w:rPr>
      </w:pPr>
      <w:r>
        <w:rPr>
          <w:rFonts w:hint="eastAsia" w:ascii="黑体" w:hAnsi="黑体" w:eastAsia="黑体" w:cs="黑体"/>
          <w:sz w:val="32"/>
          <w:highlight w:val="none"/>
          <w:lang w:val="en-US" w:eastAsia="zh-CN"/>
        </w:rPr>
        <w:t>八、关于</w:t>
      </w:r>
      <w:r>
        <w:rPr>
          <w:rFonts w:hint="default" w:ascii="黑体" w:hAnsi="黑体" w:eastAsia="黑体" w:cs="黑体"/>
          <w:sz w:val="32"/>
          <w:highlight w:val="none"/>
          <w:lang w:val="en-US" w:eastAsia="zh-CN"/>
        </w:rPr>
        <w:t>“</w:t>
      </w:r>
      <w:r>
        <w:rPr>
          <w:rFonts w:hint="default" w:ascii="黑体" w:hAnsi="黑体" w:eastAsia="黑体" w:cs="黑体"/>
          <w:b w:val="0"/>
          <w:bCs w:val="0"/>
          <w:color w:val="auto"/>
          <w:sz w:val="32"/>
          <w:szCs w:val="24"/>
          <w:highlight w:val="none"/>
          <w:lang w:val="en-US" w:eastAsia="zh-CN"/>
        </w:rPr>
        <w:t>本区企业</w:t>
      </w:r>
      <w:r>
        <w:rPr>
          <w:rFonts w:hint="default" w:ascii="黑体" w:hAnsi="黑体" w:eastAsia="黑体" w:cs="黑体"/>
          <w:color w:val="auto"/>
          <w:sz w:val="32"/>
          <w:szCs w:val="24"/>
          <w:highlight w:val="none"/>
          <w:lang w:val="en-US" w:eastAsia="zh-CN"/>
        </w:rPr>
        <w:t>不符合本指南第二条</w:t>
      </w:r>
      <w:r>
        <w:rPr>
          <w:rFonts w:hint="eastAsia" w:ascii="黑体" w:hAnsi="黑体" w:eastAsia="黑体" w:cs="黑体"/>
          <w:color w:val="auto"/>
          <w:sz w:val="32"/>
          <w:szCs w:val="24"/>
          <w:highlight w:val="none"/>
          <w:lang w:val="en-US" w:eastAsia="zh-CN"/>
        </w:rPr>
        <w:t>第（一）</w:t>
      </w:r>
      <w:r>
        <w:rPr>
          <w:rFonts w:hint="default" w:ascii="黑体" w:hAnsi="黑体" w:eastAsia="黑体" w:cs="黑体"/>
          <w:color w:val="auto"/>
          <w:sz w:val="32"/>
          <w:szCs w:val="24"/>
          <w:highlight w:val="none"/>
          <w:lang w:val="en-US" w:eastAsia="zh-CN"/>
        </w:rPr>
        <w:t>第3点规定，其</w:t>
      </w:r>
      <w:r>
        <w:rPr>
          <w:rFonts w:hint="default" w:ascii="黑体" w:hAnsi="黑体" w:eastAsia="黑体" w:cs="黑体"/>
          <w:color w:val="auto"/>
          <w:sz w:val="32"/>
          <w:szCs w:val="24"/>
          <w:highlight w:val="none"/>
        </w:rPr>
        <w:t>全资控股子公司符合</w:t>
      </w:r>
      <w:r>
        <w:rPr>
          <w:rFonts w:hint="default" w:ascii="黑体" w:hAnsi="黑体" w:eastAsia="黑体" w:cs="黑体"/>
          <w:color w:val="auto"/>
          <w:sz w:val="32"/>
          <w:szCs w:val="24"/>
          <w:highlight w:val="none"/>
          <w:lang w:val="en-US" w:eastAsia="zh-CN"/>
        </w:rPr>
        <w:t>上述</w:t>
      </w:r>
      <w:r>
        <w:rPr>
          <w:rFonts w:hint="default" w:ascii="黑体" w:hAnsi="黑体" w:eastAsia="黑体" w:cs="黑体"/>
          <w:color w:val="auto"/>
          <w:sz w:val="32"/>
          <w:szCs w:val="24"/>
          <w:highlight w:val="none"/>
        </w:rPr>
        <w:t>第3-12款企业条件</w:t>
      </w:r>
      <w:r>
        <w:rPr>
          <w:rFonts w:hint="default" w:ascii="黑体" w:hAnsi="黑体" w:eastAsia="黑体" w:cs="黑体"/>
          <w:color w:val="auto"/>
          <w:sz w:val="32"/>
          <w:szCs w:val="24"/>
          <w:highlight w:val="none"/>
          <w:lang w:val="en-US" w:eastAsia="zh-CN"/>
        </w:rPr>
        <w:t>的</w:t>
      </w:r>
      <w:r>
        <w:rPr>
          <w:rFonts w:hint="default" w:ascii="黑体" w:hAnsi="黑体" w:eastAsia="黑体" w:cs="黑体"/>
          <w:sz w:val="32"/>
          <w:highlight w:val="none"/>
          <w:lang w:val="en-US" w:eastAsia="zh-CN"/>
        </w:rPr>
        <w:t>”的具体说明</w:t>
      </w:r>
    </w:p>
    <w:p w14:paraId="0B05D38C">
      <w:pPr>
        <w:tabs>
          <w:tab w:val="left" w:pos="0"/>
        </w:tabs>
        <w:snapToGrid/>
        <w:spacing w:beforeLines="0" w:afterLines="0"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以上企业均应满足本申报指南中对单位统计关系与在南沙区实际办公的相关要求，并按照要求提供材料</w:t>
      </w:r>
      <w:r>
        <w:rPr>
          <w:rFonts w:hint="default" w:ascii="Times New Roman" w:hAnsi="Times New Roman" w:eastAsia="仿宋_GB2312" w:cs="Times New Roman"/>
          <w:sz w:val="32"/>
          <w:szCs w:val="32"/>
          <w:highlight w:val="none"/>
          <w:lang w:val="en-US" w:eastAsia="zh-CN"/>
        </w:rPr>
        <w:t>。</w:t>
      </w:r>
    </w:p>
    <w:p w14:paraId="3433BDAB">
      <w:pPr>
        <w:numPr>
          <w:ilvl w:val="0"/>
          <w:numId w:val="0"/>
        </w:numPr>
        <w:spacing w:beforeLines="0" w:afterLines="0" w:line="580" w:lineRule="exact"/>
        <w:ind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九、关于“从</w:t>
      </w:r>
      <w:r>
        <w:rPr>
          <w:rFonts w:hint="default" w:ascii="黑体" w:hAnsi="黑体" w:eastAsia="黑体" w:cs="黑体"/>
          <w:sz w:val="32"/>
          <w:highlight w:val="none"/>
          <w:lang w:val="en-US" w:eastAsia="zh-CN"/>
        </w:rPr>
        <w:t>申报指南发布</w:t>
      </w:r>
      <w:r>
        <w:rPr>
          <w:rFonts w:hint="eastAsia" w:ascii="黑体" w:hAnsi="黑体" w:eastAsia="黑体" w:cs="黑体"/>
          <w:sz w:val="32"/>
          <w:highlight w:val="none"/>
          <w:lang w:val="en-US" w:eastAsia="zh-CN"/>
        </w:rPr>
        <w:t>当月</w:t>
      </w:r>
      <w:r>
        <w:rPr>
          <w:rFonts w:hint="default" w:ascii="黑体" w:hAnsi="黑体" w:eastAsia="黑体" w:cs="黑体"/>
          <w:sz w:val="32"/>
          <w:highlight w:val="none"/>
          <w:lang w:val="en-US" w:eastAsia="zh-CN"/>
        </w:rPr>
        <w:t>向前追溯不少于6个月</w:t>
      </w:r>
      <w:r>
        <w:rPr>
          <w:rFonts w:hint="eastAsia" w:ascii="黑体" w:hAnsi="黑体" w:eastAsia="黑体" w:cs="黑体"/>
          <w:sz w:val="32"/>
          <w:highlight w:val="none"/>
          <w:lang w:val="en-US" w:eastAsia="zh-CN"/>
        </w:rPr>
        <w:t>”的具体说明</w:t>
      </w:r>
    </w:p>
    <w:p w14:paraId="7CE7DA2E">
      <w:pPr>
        <w:pStyle w:val="2"/>
        <w:numPr>
          <w:ilvl w:val="-1"/>
          <w:numId w:val="0"/>
        </w:numPr>
        <w:ind w:left="0" w:leftChars="0" w:firstLine="640" w:firstLineChars="200"/>
        <w:rPr>
          <w:rFonts w:hint="eastAsia" w:eastAsia="仿宋_GB2312" w:cs="Times New Roman"/>
          <w:sz w:val="32"/>
          <w:szCs w:val="32"/>
          <w:highlight w:val="none"/>
          <w:lang w:val="en-US" w:eastAsia="zh-CN"/>
        </w:rPr>
      </w:pPr>
      <w:r>
        <w:rPr>
          <w:rFonts w:hint="eastAsia" w:eastAsia="仿宋_GB2312" w:cs="Times New Roman" w:asciiTheme="minorHAnsi" w:hAnsiTheme="minorHAnsi"/>
          <w:sz w:val="32"/>
          <w:szCs w:val="32"/>
          <w:highlight w:val="none"/>
          <w:lang w:val="en-US" w:eastAsia="zh-CN"/>
        </w:rPr>
        <w:t>申报指南于</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月发布，申报人至少202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月-202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月</w:t>
      </w:r>
      <w:r>
        <w:rPr>
          <w:rFonts w:hint="eastAsia" w:eastAsia="仿宋_GB2312" w:cs="Times New Roman" w:asciiTheme="minorHAnsi" w:hAnsiTheme="minorHAnsi"/>
          <w:sz w:val="32"/>
          <w:szCs w:val="32"/>
          <w:highlight w:val="none"/>
          <w:lang w:val="en-US" w:eastAsia="zh-CN"/>
        </w:rPr>
        <w:t>期间须在南沙区连续缴纳社会保险。</w:t>
      </w:r>
    </w:p>
    <w:p w14:paraId="5C5F0550">
      <w:pPr>
        <w:numPr>
          <w:ilvl w:val="0"/>
          <w:numId w:val="0"/>
        </w:numPr>
        <w:spacing w:beforeLines="0" w:afterLines="0" w:line="580" w:lineRule="exact"/>
        <w:ind w:firstLine="640" w:firstLineChars="200"/>
        <w:jc w:val="left"/>
        <w:rPr>
          <w:rFonts w:hint="default" w:ascii="黑体" w:hAnsi="黑体" w:eastAsia="黑体" w:cs="黑体"/>
          <w:sz w:val="32"/>
          <w:highlight w:val="none"/>
          <w:lang w:val="en-US" w:eastAsia="zh-CN"/>
        </w:rPr>
      </w:pPr>
      <w:r>
        <w:rPr>
          <w:rFonts w:hint="eastAsia" w:ascii="黑体" w:hAnsi="黑体" w:eastAsia="黑体" w:cs="黑体"/>
          <w:sz w:val="32"/>
          <w:highlight w:val="none"/>
          <w:lang w:val="en-US" w:eastAsia="zh-CN"/>
        </w:rPr>
        <w:t>十、关于“刑事处罚、行政处罚”追溯时间的具体说明</w:t>
      </w:r>
    </w:p>
    <w:p w14:paraId="4E9FC898">
      <w:pPr>
        <w:snapToGrid/>
        <w:spacing w:before="0" w:beforeLines="0" w:after="0" w:afterLines="0" w:line="580" w:lineRule="exact"/>
        <w:ind w:firstLine="640" w:firstLineChars="200"/>
        <w:rPr>
          <w:rFonts w:hint="eastAsia" w:eastAsia="仿宋_GB2312" w:cs="Times New Roman"/>
          <w:i w:val="0"/>
          <w:iCs w:val="0"/>
          <w:sz w:val="32"/>
          <w:szCs w:val="32"/>
          <w:highlight w:val="none"/>
          <w:lang w:val="en-US" w:eastAsia="zh-CN"/>
        </w:rPr>
      </w:pPr>
      <w:r>
        <w:rPr>
          <w:rFonts w:hint="eastAsia" w:eastAsia="仿宋_GB2312" w:cs="Times New Roman"/>
          <w:i w:val="0"/>
          <w:iCs w:val="0"/>
          <w:sz w:val="32"/>
          <w:szCs w:val="32"/>
          <w:highlight w:val="none"/>
          <w:lang w:val="en-US" w:eastAsia="zh-CN"/>
        </w:rPr>
        <w:t>刑事处罚追溯“近</w:t>
      </w:r>
      <w:r>
        <w:rPr>
          <w:rFonts w:hint="default" w:ascii="Times New Roman" w:hAnsi="Times New Roman" w:eastAsia="仿宋_GB2312" w:cs="Times New Roman"/>
          <w:i w:val="0"/>
          <w:iCs w:val="0"/>
          <w:sz w:val="32"/>
          <w:szCs w:val="32"/>
          <w:highlight w:val="none"/>
          <w:lang w:val="en-US" w:eastAsia="zh-CN"/>
        </w:rPr>
        <w:t>5</w:t>
      </w:r>
      <w:r>
        <w:rPr>
          <w:rFonts w:hint="eastAsia" w:eastAsia="仿宋_GB2312" w:cs="Times New Roman"/>
          <w:i w:val="0"/>
          <w:iCs w:val="0"/>
          <w:sz w:val="32"/>
          <w:szCs w:val="32"/>
          <w:highlight w:val="none"/>
          <w:lang w:val="en-US" w:eastAsia="zh-CN"/>
        </w:rPr>
        <w:t>年”、行政处罚追溯“近</w:t>
      </w:r>
      <w:r>
        <w:rPr>
          <w:rFonts w:hint="eastAsia" w:ascii="Times New Roman" w:hAnsi="Times New Roman" w:eastAsia="仿宋_GB2312" w:cs="Times New Roman"/>
          <w:i w:val="0"/>
          <w:iCs w:val="0"/>
          <w:sz w:val="32"/>
          <w:szCs w:val="32"/>
          <w:highlight w:val="none"/>
          <w:lang w:val="en-US" w:eastAsia="zh-CN"/>
        </w:rPr>
        <w:t>1</w:t>
      </w:r>
      <w:r>
        <w:rPr>
          <w:rFonts w:hint="eastAsia" w:eastAsia="仿宋_GB2312" w:cs="Times New Roman"/>
          <w:i w:val="0"/>
          <w:iCs w:val="0"/>
          <w:sz w:val="32"/>
          <w:szCs w:val="32"/>
          <w:highlight w:val="none"/>
          <w:lang w:val="en-US" w:eastAsia="zh-CN"/>
        </w:rPr>
        <w:t>年”，计时起始时间从申请年度的</w:t>
      </w:r>
      <w:r>
        <w:rPr>
          <w:rFonts w:hint="eastAsia" w:ascii="Times New Roman" w:hAnsi="Times New Roman" w:eastAsia="仿宋_GB2312" w:cs="Times New Roman"/>
          <w:i w:val="0"/>
          <w:iCs w:val="0"/>
          <w:sz w:val="32"/>
          <w:szCs w:val="32"/>
          <w:highlight w:val="none"/>
          <w:lang w:val="en-US" w:eastAsia="zh-CN"/>
        </w:rPr>
        <w:t>1月1日</w:t>
      </w:r>
      <w:r>
        <w:rPr>
          <w:rFonts w:hint="eastAsia" w:eastAsia="仿宋_GB2312" w:cs="Times New Roman"/>
          <w:i w:val="0"/>
          <w:iCs w:val="0"/>
          <w:sz w:val="32"/>
          <w:szCs w:val="32"/>
          <w:highlight w:val="none"/>
          <w:lang w:val="en-US" w:eastAsia="zh-CN"/>
        </w:rPr>
        <w:t>向前追溯，同时包含申请当年（例：</w:t>
      </w:r>
      <w:r>
        <w:rPr>
          <w:rFonts w:hint="eastAsia" w:ascii="Times New Roman" w:hAnsi="Times New Roman" w:eastAsia="仿宋_GB2312" w:cs="Times New Roman"/>
          <w:i w:val="0"/>
          <w:iCs w:val="0"/>
          <w:sz w:val="32"/>
          <w:szCs w:val="32"/>
          <w:highlight w:val="none"/>
          <w:lang w:val="en-US" w:eastAsia="zh-CN"/>
        </w:rPr>
        <w:t>2023</w:t>
      </w:r>
      <w:r>
        <w:rPr>
          <w:rFonts w:hint="eastAsia" w:eastAsia="仿宋_GB2312" w:cs="Times New Roman"/>
          <w:i w:val="0"/>
          <w:iCs w:val="0"/>
          <w:sz w:val="32"/>
          <w:szCs w:val="32"/>
          <w:highlight w:val="none"/>
          <w:lang w:val="en-US" w:eastAsia="zh-CN"/>
        </w:rPr>
        <w:t>年度骨干人才奖的申请年度为“</w:t>
      </w:r>
      <w:r>
        <w:rPr>
          <w:rFonts w:hint="eastAsia" w:ascii="Times New Roman" w:hAnsi="Times New Roman" w:eastAsia="仿宋_GB2312" w:cs="Times New Roman"/>
          <w:i w:val="0"/>
          <w:iCs w:val="0"/>
          <w:sz w:val="32"/>
          <w:szCs w:val="32"/>
          <w:highlight w:val="none"/>
          <w:lang w:val="en-US" w:eastAsia="zh-CN"/>
        </w:rPr>
        <w:t>2023</w:t>
      </w:r>
      <w:r>
        <w:rPr>
          <w:rFonts w:hint="eastAsia" w:eastAsia="仿宋_GB2312" w:cs="Times New Roman"/>
          <w:i w:val="0"/>
          <w:iCs w:val="0"/>
          <w:sz w:val="32"/>
          <w:szCs w:val="32"/>
          <w:highlight w:val="none"/>
          <w:lang w:val="en-US" w:eastAsia="zh-CN"/>
        </w:rPr>
        <w:t>年”）。</w:t>
      </w:r>
    </w:p>
    <w:p w14:paraId="02870A21">
      <w:pPr>
        <w:pStyle w:val="2"/>
        <w:rPr>
          <w:rFonts w:hint="eastAsia" w:ascii="黑体" w:hAnsi="黑体" w:eastAsia="黑体" w:cs="黑体"/>
          <w:i w:val="0"/>
          <w:iCs w:val="0"/>
          <w:sz w:val="32"/>
          <w:szCs w:val="24"/>
          <w:highlight w:val="none"/>
          <w:lang w:val="en-US" w:eastAsia="zh-CN"/>
        </w:rPr>
      </w:pPr>
      <w:r>
        <w:rPr>
          <w:rFonts w:hint="eastAsia" w:eastAsia="仿宋_GB2312" w:cs="Times New Roman"/>
          <w:i w:val="0"/>
          <w:iCs w:val="0"/>
          <w:sz w:val="32"/>
          <w:szCs w:val="32"/>
          <w:highlight w:val="none"/>
          <w:lang w:val="en-US" w:eastAsia="zh-CN"/>
        </w:rPr>
        <w:t xml:space="preserve"> </w:t>
      </w:r>
      <w:r>
        <w:rPr>
          <w:rFonts w:hint="eastAsia" w:ascii="黑体" w:hAnsi="黑体" w:eastAsia="黑体" w:cs="黑体"/>
          <w:i w:val="0"/>
          <w:iCs w:val="0"/>
          <w:sz w:val="32"/>
          <w:szCs w:val="24"/>
          <w:highlight w:val="none"/>
          <w:lang w:val="en-US" w:eastAsia="zh-CN"/>
        </w:rPr>
        <w:t>十一</w:t>
      </w:r>
      <w:bookmarkStart w:id="0" w:name="_GoBack"/>
      <w:bookmarkEnd w:id="0"/>
      <w:r>
        <w:rPr>
          <w:rFonts w:hint="eastAsia" w:ascii="黑体" w:hAnsi="黑体" w:eastAsia="黑体" w:cs="黑体"/>
          <w:i w:val="0"/>
          <w:iCs w:val="0"/>
          <w:sz w:val="32"/>
          <w:szCs w:val="24"/>
          <w:highlight w:val="none"/>
          <w:lang w:val="en-US" w:eastAsia="zh-CN"/>
        </w:rPr>
        <w:t>、关于骨干人才提供身份证件的具体说明</w:t>
      </w:r>
    </w:p>
    <w:p w14:paraId="0EBB0022">
      <w:pPr>
        <w:ind w:firstLine="640" w:firstLineChars="200"/>
        <w:rPr>
          <w:rFonts w:hint="default"/>
          <w:highlight w:val="none"/>
          <w:lang w:val="en-US" w:eastAsia="zh-CN"/>
        </w:rPr>
      </w:pPr>
      <w:r>
        <w:rPr>
          <w:rFonts w:hint="eastAsia" w:ascii="Times New Roman" w:hAnsi="Times New Roman" w:eastAsia="仿宋_GB2312" w:cs="Times New Roman"/>
          <w:color w:val="auto"/>
          <w:sz w:val="32"/>
          <w:szCs w:val="32"/>
          <w:highlight w:val="none"/>
          <w:lang w:val="en-US" w:eastAsia="zh-CN"/>
        </w:rPr>
        <w:t>身份证件</w:t>
      </w:r>
      <w:r>
        <w:rPr>
          <w:rFonts w:hint="default" w:ascii="Times New Roman" w:hAnsi="Times New Roman" w:eastAsia="仿宋_GB2312" w:cs="Times New Roman"/>
          <w:color w:val="auto"/>
          <w:sz w:val="32"/>
          <w:szCs w:val="32"/>
          <w:highlight w:val="none"/>
          <w:lang w:val="en-US" w:eastAsia="zh-CN"/>
        </w:rPr>
        <w:t>必须与其向南沙税务机关</w:t>
      </w:r>
      <w:r>
        <w:rPr>
          <w:rFonts w:hint="eastAsia"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val="en-US" w:eastAsia="zh-CN"/>
        </w:rPr>
        <w:t>中国个人所得税时填报的身份一致</w:t>
      </w:r>
      <w:r>
        <w:rPr>
          <w:rFonts w:hint="eastAsia" w:ascii="Times New Roman" w:hAnsi="Times New Roman" w:eastAsia="仿宋_GB2312" w:cs="Times New Roman"/>
          <w:color w:val="auto"/>
          <w:sz w:val="32"/>
          <w:szCs w:val="32"/>
          <w:highlight w:val="none"/>
          <w:lang w:val="en-US" w:eastAsia="zh-CN"/>
        </w:rPr>
        <w:t>。</w:t>
      </w:r>
    </w:p>
    <w:p w14:paraId="434ACAF7">
      <w:pPr>
        <w:pStyle w:val="2"/>
        <w:rPr>
          <w:rFonts w:hint="default"/>
          <w:highlight w:val="no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055CF8-0154-4381-915F-F8815E094022}"/>
  </w:font>
  <w:font w:name="黑体">
    <w:panose1 w:val="02010609060101010101"/>
    <w:charset w:val="86"/>
    <w:family w:val="auto"/>
    <w:pitch w:val="default"/>
    <w:sig w:usb0="800002BF" w:usb1="38CF7CFA" w:usb2="00000016" w:usb3="00000000" w:csb0="00040001" w:csb1="00000000"/>
    <w:embedRegular r:id="rId2" w:fontKey="{2A302C23-83C2-485C-A934-23594C3E34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E966BE6-F573-4533-94B1-15AB2EF38C06}"/>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4" w:fontKey="{1ACADEB9-F60D-4466-802A-0D30FD43ACED}"/>
  </w:font>
  <w:font w:name="仿宋_GB2312">
    <w:panose1 w:val="02010609030101010101"/>
    <w:charset w:val="86"/>
    <w:family w:val="auto"/>
    <w:pitch w:val="default"/>
    <w:sig w:usb0="00000001" w:usb1="080E0000" w:usb2="00000000" w:usb3="00000000" w:csb0="00040000" w:csb1="00000000"/>
    <w:embedRegular r:id="rId5" w:fontKey="{14F93B43-94FA-4F4D-9EEF-C6C47F51C632}"/>
  </w:font>
  <w:font w:name="楷体">
    <w:panose1 w:val="02010609060101010101"/>
    <w:charset w:val="86"/>
    <w:family w:val="modern"/>
    <w:pitch w:val="default"/>
    <w:sig w:usb0="800002BF" w:usb1="38CF7CFA" w:usb2="00000016" w:usb3="00000000" w:csb0="00040001" w:csb1="00000000"/>
    <w:embedRegular r:id="rId6" w:fontKey="{3629D2A3-915E-4462-B623-70D57B70876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5C5E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9B2BE">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99B2BE">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MGE3YmFmY2FmZTI0NGQ2NTAwNTBjNTNjYmZiY2EifQ=="/>
  </w:docVars>
  <w:rsids>
    <w:rsidRoot w:val="171C7FC8"/>
    <w:rsid w:val="02444E5B"/>
    <w:rsid w:val="068B51BB"/>
    <w:rsid w:val="075A7395"/>
    <w:rsid w:val="0AA20B30"/>
    <w:rsid w:val="0BAA075E"/>
    <w:rsid w:val="0CCD2B13"/>
    <w:rsid w:val="0F3C47BF"/>
    <w:rsid w:val="10930DC1"/>
    <w:rsid w:val="10A14D2D"/>
    <w:rsid w:val="171C7FC8"/>
    <w:rsid w:val="186B72EE"/>
    <w:rsid w:val="188861CF"/>
    <w:rsid w:val="1CD8551B"/>
    <w:rsid w:val="22285372"/>
    <w:rsid w:val="23544D8F"/>
    <w:rsid w:val="276C0FAB"/>
    <w:rsid w:val="28156B3B"/>
    <w:rsid w:val="29EC3EF6"/>
    <w:rsid w:val="2B41323D"/>
    <w:rsid w:val="2C3D613A"/>
    <w:rsid w:val="2D875AC0"/>
    <w:rsid w:val="2E195C95"/>
    <w:rsid w:val="2E434333"/>
    <w:rsid w:val="2FCD5490"/>
    <w:rsid w:val="30047A14"/>
    <w:rsid w:val="33093B6B"/>
    <w:rsid w:val="35855502"/>
    <w:rsid w:val="37976849"/>
    <w:rsid w:val="380671C7"/>
    <w:rsid w:val="393E6817"/>
    <w:rsid w:val="39C07E40"/>
    <w:rsid w:val="3A7860AA"/>
    <w:rsid w:val="3F831815"/>
    <w:rsid w:val="406A5ECD"/>
    <w:rsid w:val="40703842"/>
    <w:rsid w:val="4529521C"/>
    <w:rsid w:val="46517B39"/>
    <w:rsid w:val="46796EF9"/>
    <w:rsid w:val="49353427"/>
    <w:rsid w:val="4BD307B7"/>
    <w:rsid w:val="4D334611"/>
    <w:rsid w:val="4D94597C"/>
    <w:rsid w:val="50457345"/>
    <w:rsid w:val="53A44CA9"/>
    <w:rsid w:val="566E3862"/>
    <w:rsid w:val="57716B53"/>
    <w:rsid w:val="5A541E0A"/>
    <w:rsid w:val="5C9F6893"/>
    <w:rsid w:val="64677673"/>
    <w:rsid w:val="66AE30F1"/>
    <w:rsid w:val="671C01C6"/>
    <w:rsid w:val="69290E84"/>
    <w:rsid w:val="69D11ECE"/>
    <w:rsid w:val="6A7142AC"/>
    <w:rsid w:val="6AA00549"/>
    <w:rsid w:val="6C8E6075"/>
    <w:rsid w:val="6C932279"/>
    <w:rsid w:val="6D8F5E51"/>
    <w:rsid w:val="7131622C"/>
    <w:rsid w:val="72623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Cambria" w:hAnsi="Cambria" w:eastAsia="宋体" w:cs="Times New Roman"/>
      <w:kern w:val="0"/>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1330</Words>
  <Characters>1438</Characters>
  <Lines>0</Lines>
  <Paragraphs>0</Paragraphs>
  <TotalTime>60</TotalTime>
  <ScaleCrop>false</ScaleCrop>
  <LinksUpToDate>false</LinksUpToDate>
  <CharactersWithSpaces>1452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2023-12-22T02:34:00Z</dcterms:created>
  <dc:creator>杨惠娟</dc:creator>
  <cp:lastModifiedBy>杨惠娟</cp:lastModifiedBy>
  <cp:lastPrinted>2024-12-27T00:24:00Z</cp:lastPrinted>
  <dcterms:modified xsi:type="dcterms:W3CDTF">2025-01-13T01:06:19Z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514DF4719F994553AB9508EAD79B6F08_13</vt:lpwstr>
  </property>
  <property fmtid="{D5CDD505-2E9C-101B-9397-08002B2CF9AE}" pid="4" name="KSOTemplateDocerSaveRecord">
    <vt:lpwstr>eyJoZGlkIjoiYmY5M2MwYjNhNTY0NGZjYjBkZjZjY2ZmNTAyNWQ0ZGQiLCJ1c2VySWQiOiIyMTUzNjg3MTQifQ==</vt:lpwstr>
  </property>
</Properties>
</file>