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年广东省科协海智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计划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评估结果</w:t>
      </w:r>
    </w:p>
    <w:tbl>
      <w:tblPr>
        <w:tblStyle w:val="3"/>
        <w:tblpPr w:leftFromText="180" w:rightFromText="180" w:vertAnchor="text" w:horzAnchor="page" w:tblpX="1230" w:tblpY="156"/>
        <w:tblOverlap w:val="never"/>
        <w:tblW w:w="9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989"/>
        <w:gridCol w:w="1009"/>
      </w:tblGrid>
      <w:tr>
        <w:trPr>
          <w:trHeight w:val="5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工作站名称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</w:tr>
      <w:tr>
        <w:trPr>
          <w:trHeight w:val="56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广东省科协海智计划佛山中国发明成果转化研究院工作站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优秀</w:t>
            </w:r>
          </w:p>
        </w:tc>
      </w:tr>
      <w:tr>
        <w:trPr>
          <w:trHeight w:val="5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广东省科协海智计划广州科技园工作站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广东省科协海智计划广东省卓越质量促进中心工作站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广东省科协海智计划深圳市光明区留学人员创业园工作站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广东省科协海智计划热带海洋环境国家重点实验室工作站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广东省科协海智计划中集智谷工作站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广东省科协海智计划联科国际信息产业园工作站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广东省科协海智计划广东汇兴精工智造股份有限公司工作站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广东省科协海智计划力合创智工作站（佛山南海国凯投资有限公司）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广东省科协海智计划赛莱拉工作站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广东省科协海智计划珠海清华科技园工作站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广东省科协海智计划肇庆学院工作站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广东省科协海智计划广东省创新人才促进会工作站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广东省科协海智计划广东弘霞客文旅教育产业投资有限公司工作站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广东省科协海智计划五华华创汇科技工作站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广东省科协海智计划佛山奕安赛医药科技有限公司工作站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10D4"/>
    <w:rsid w:val="ED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2022-12-15T12:15:00Z</dcterms:created>
  <dc:creator>长在树上的鱼</dc:creator>
  <cp:lastModifiedBy>长在树上的鱼</cp:lastModifiedBy>
  <dcterms:modified xsi:type="dcterms:W3CDTF">2022-12-15T12:16:11Z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2052-5.0.0.7542</vt:lpwstr>
  </property>
  <property fmtid="{D5CDD505-2E9C-101B-9397-08002B2CF9AE}" pid="3" name="ICV">
    <vt:lpwstr>00FCE7AA502C8D6D529F9A63B70576B1</vt:lpwstr>
  </property>
</Properties>
</file>