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left"/>
        <w:rPr>
          <w:rStyle w:val="7"/>
          <w:rFonts w:hint="eastAsia" w:ascii="Times New Roman" w:hAnsi="Times New Roman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Cs w:val="32"/>
          <w:highlight w:val="none"/>
          <w:lang w:bidi="ar"/>
        </w:rPr>
        <w:t>附表</w:t>
      </w:r>
      <w:r>
        <w:rPr>
          <w:rFonts w:hint="eastAsia" w:ascii="Times New Roman" w:hAnsi="Times New Roman" w:eastAsia="黑体" w:cs="黑体"/>
          <w:szCs w:val="32"/>
          <w:highlight w:val="none"/>
          <w:lang w:val="en-US" w:eastAsia="zh-CN" w:bidi="ar"/>
        </w:rPr>
        <w:t>3</w:t>
      </w:r>
    </w:p>
    <w:tbl>
      <w:tblPr>
        <w:tblStyle w:val="5"/>
        <w:tblW w:w="0" w:type="auto"/>
        <w:tblInd w:w="-3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13"/>
        <w:gridCol w:w="4759"/>
        <w:gridCol w:w="1343"/>
        <w:gridCol w:w="928"/>
        <w:gridCol w:w="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Style w:val="7"/>
                <w:rFonts w:ascii="Times New Roman" w:hAnsi="Times New Roman" w:eastAsia="方正小标宋简体"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872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Style w:val="7"/>
                <w:rFonts w:ascii="Times New Roman" w:hAnsi="Times New Roman" w:eastAsia="方正小标宋简体"/>
                <w:color w:val="auto"/>
                <w:kern w:val="0"/>
                <w:szCs w:val="32"/>
                <w:highlight w:val="none"/>
              </w:rPr>
            </w:pPr>
            <w:r>
              <w:rPr>
                <w:rStyle w:val="7"/>
                <w:rFonts w:ascii="Times New Roman" w:hAnsi="Times New Roman" w:eastAsia="方正小标宋简体"/>
                <w:color w:val="auto"/>
                <w:kern w:val="0"/>
                <w:szCs w:val="32"/>
                <w:highlight w:val="none"/>
              </w:rPr>
              <w:t>海珠区</w:t>
            </w:r>
            <w:r>
              <w:rPr>
                <w:rStyle w:val="7"/>
                <w:rFonts w:ascii="Times New Roman" w:hAnsi="Times New Roman" w:eastAsia="方正小标宋简体"/>
                <w:color w:val="auto"/>
                <w:szCs w:val="32"/>
                <w:highlight w:val="none"/>
              </w:rPr>
              <w:t>积极实施“职业技能提升工程”</w:t>
            </w:r>
            <w:r>
              <w:rPr>
                <w:rStyle w:val="7"/>
                <w:rFonts w:hint="eastAsia" w:ascii="Times New Roman" w:hAnsi="Times New Roman" w:eastAsia="方正小标宋简体"/>
                <w:color w:val="auto"/>
                <w:szCs w:val="32"/>
                <w:highlight w:val="none"/>
              </w:rPr>
              <w:t>（企业）</w:t>
            </w:r>
            <w:r>
              <w:rPr>
                <w:rStyle w:val="7"/>
                <w:rFonts w:ascii="Times New Roman" w:hAnsi="Times New Roman" w:eastAsia="方正小标宋简体"/>
                <w:color w:val="auto"/>
                <w:kern w:val="0"/>
                <w:szCs w:val="32"/>
                <w:highlight w:val="none"/>
              </w:rPr>
              <w:t>计分表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指标内容及分值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说明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总分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企业自评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8" w:hRule="atLeast"/>
        </w:trPr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企业技能人才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培养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制度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企业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建立职工培养制度（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分），并从职工教育经费中列支符合有关政府规定的对职工开展在岗培训、业务研修等企业内部发生的费用和企业自主评价所产生的相关费用（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分）。建立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企业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技能人才待遇与技能挂钩激励机制（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分）；制定本企业首席技师制度，包括培养、评选、聘用、管理、嘉奖奖金、退出等具体办法（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分）；从优秀技能人才中评定企业首席技师（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09" w:firstLine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15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5" w:hRule="atLeast"/>
        </w:trPr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职业技能等级认定情况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向省、市级有关部门申报开展职业技能等级认定工作（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5分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），经评审后予以备案公布（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1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分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）。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09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15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分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4" w:hRule="atLeast"/>
        </w:trPr>
        <w:tc>
          <w:tcPr>
            <w:tcW w:w="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企业培养技能人才情况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outlineLvl w:val="9"/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企业建立企业培训中心（5分）；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企业培训中心年培训人数超过(含）300人次（10分）；超过（含）200人次（8分）；超过（含）100人次（6分）；低于100人次（4分）。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培训人数只取最高分，不累计加分，培训人数为零该项目不得分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15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分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企业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开展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学徒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制培训情况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200"/>
              <w:textAlignment w:val="auto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2023年至今培训学徒数量超过（含）100人（15分）；超过（含）80人（12分）；超过（含）60人（9分）；超过（含）40人（6分）。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培训人数只取最高分，不累计加分。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15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开展“粤菜师傅”“广东技工”“南粤家政”三大工程情况</w:t>
            </w: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积极配合区级及以上人社部门开展职业技能提升行动，包括但不仅限于参与或组织“粤菜师傅”、“广东技工”、“南粤家政”工程等各类职业技能提升活动。（参加或组织一次活动得2分，最高8分）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2023年至今“粤菜师傅”、“广东技工”或“南粤家政”培训人数超过（含）50人（7分）；超过（含）40人（5分）；超过（含）30人（3分）；超过（含）20人（1分）。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培训人数只取最高分，不累计加分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15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分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技能人才培养统计和宣传工作</w:t>
            </w: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ind w:firstLine="392" w:firstLineChars="196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定期报送技能人才培训数据，报送2次（8分），报送1次（4分）；提供技能人才培养宣传素材，4篇（7分），3篇（5分），2篇（3分），1篇（1分）。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只取最高分，不累计加分。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15分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劳动关系</w:t>
            </w: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ind w:firstLine="392" w:firstLineChars="196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是否获市级以上“劳动关系和谐单位”称号，是（10分），否（0分）。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ind w:firstLine="309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1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0分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7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jc w:val="center"/>
              <w:rPr>
                <w:rStyle w:val="7"/>
                <w:rFonts w:hint="eastAsia" w:ascii="Times New Roman" w:hAnsi="Times New Roman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仿宋_GB2312"/>
                <w:color w:val="auto"/>
                <w:kern w:val="0"/>
                <w:sz w:val="21"/>
                <w:szCs w:val="21"/>
                <w:highlight w:val="none"/>
              </w:rPr>
              <w:t>合计（分）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Style w:val="7"/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Times New Roman" w:hAnsi="Times New Roman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Times New Roman" w:hAnsi="Times New Roman"/>
          <w:color w:val="auto"/>
          <w:sz w:val="24"/>
          <w:highlight w:val="none"/>
        </w:rPr>
      </w:pPr>
    </w:p>
    <w:p>
      <w:pPr>
        <w:rPr>
          <w:rFonts w:hint="eastAsia" w:eastAsia="仿宋_GB2312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auto"/>
          <w:sz w:val="21"/>
          <w:szCs w:val="21"/>
          <w:highlight w:val="none"/>
        </w:rPr>
        <w:t>申报单位：                  申报人：            申报人联系方式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GM2OTJhNDkwYjRiMjBmMTVhMTVkNTM3YmIzODAifQ=="/>
  </w:docVars>
  <w:rsids>
    <w:rsidRoot w:val="00172A27"/>
    <w:rsid w:val="2B2C3563"/>
    <w:rsid w:val="45F30260"/>
    <w:rsid w:val="52A066E2"/>
    <w:rsid w:val="612432E7"/>
    <w:rsid w:val="6D02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widowControl/>
      <w:spacing w:after="0"/>
      <w:ind w:firstLine="420" w:firstLineChars="200"/>
    </w:pPr>
    <w:rPr>
      <w:rFonts w:ascii="Times New Roman" w:hAnsi="Times New Roman" w:cs="Times New Roman"/>
      <w:szCs w:val="20"/>
    </w:rPr>
  </w:style>
  <w:style w:type="character" w:customStyle="1" w:styleId="7">
    <w:name w:val="NormalCharacter"/>
    <w:qFormat/>
    <w:uiPriority w:val="0"/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749</Words>
  <Characters>789</Characters>
  <Lines>0</Lines>
  <Paragraphs>0</Paragraphs>
  <TotalTime>2</TotalTime>
  <ScaleCrop>false</ScaleCrop>
  <LinksUpToDate>false</LinksUpToDate>
  <CharactersWithSpaces>821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2022-08-04T08:16:00Z</dcterms:created>
  <dc:creator>鱼鱼鱼</dc:creator>
  <cp:lastModifiedBy>鱼鱼鱼</cp:lastModifiedBy>
  <dcterms:modified xsi:type="dcterms:W3CDTF">2023-08-10T01:07:43Z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CE36A256337442A9B32D99D9BA926BC5</vt:lpwstr>
  </property>
</Properties>
</file>