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8E3E3">
      <w:pPr>
        <w:keepNext w:val="0"/>
        <w:keepLines w:val="0"/>
        <w:pageBreakBefore w:val="0"/>
        <w:widowControl w:val="0"/>
        <w:kinsoku/>
        <w:wordWrap/>
        <w:overflowPunct/>
        <w:topLinePunct w:val="0"/>
        <w:bidi w:val="0"/>
        <w:snapToGrid/>
        <w:spacing w:line="560" w:lineRule="exact"/>
        <w:ind w:left="0" w:leftChars="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附件8</w:t>
      </w:r>
    </w:p>
    <w:p w14:paraId="11AAFE3A">
      <w:pPr>
        <w:keepNext w:val="0"/>
        <w:keepLines w:val="0"/>
        <w:pageBreakBefore w:val="0"/>
        <w:widowControl w:val="0"/>
        <w:kinsoku/>
        <w:wordWrap/>
        <w:overflowPunct/>
        <w:topLinePunct w:val="0"/>
        <w:bidi w:val="0"/>
        <w:snapToGrid/>
        <w:spacing w:line="560" w:lineRule="exact"/>
        <w:ind w:left="0" w:leftChars="0"/>
        <w:jc w:val="both"/>
        <w:textAlignment w:val="auto"/>
        <w:rPr>
          <w:rFonts w:hint="default" w:ascii="Times New Roman" w:hAnsi="Times New Roman" w:eastAsia="方正小标宋简体" w:cs="Times New Roman"/>
          <w:color w:val="auto"/>
          <w:sz w:val="44"/>
          <w:szCs w:val="44"/>
        </w:rPr>
      </w:pPr>
    </w:p>
    <w:p w14:paraId="623E6CD8">
      <w:pPr>
        <w:keepNext w:val="0"/>
        <w:keepLines w:val="0"/>
        <w:pageBreakBefore w:val="0"/>
        <w:widowControl w:val="0"/>
        <w:kinsoku/>
        <w:wordWrap/>
        <w:overflowPunct/>
        <w:topLinePunct w:val="0"/>
        <w:bidi w:val="0"/>
        <w:snapToGrid/>
        <w:spacing w:line="560" w:lineRule="exact"/>
        <w:ind w:left="0" w:leftChars="0"/>
        <w:jc w:val="center"/>
        <w:textAlignment w:val="auto"/>
        <w:rPr>
          <w:rFonts w:hint="default" w:ascii="Times New Roman" w:hAnsi="Times New Roman" w:eastAsia="方正小标宋简体" w:cs="Times New Roman"/>
          <w:color w:val="auto"/>
          <w:sz w:val="44"/>
          <w:szCs w:val="44"/>
        </w:rPr>
      </w:pPr>
      <w:bookmarkStart w:id="1" w:name="_GoBack"/>
      <w:r>
        <w:rPr>
          <w:rFonts w:hint="default" w:ascii="Times New Roman" w:hAnsi="Times New Roman" w:eastAsia="方正小标宋简体" w:cs="Times New Roman"/>
          <w:color w:val="auto"/>
          <w:sz w:val="44"/>
          <w:szCs w:val="44"/>
        </w:rPr>
        <w:t>申报指引</w:t>
      </w:r>
    </w:p>
    <w:bookmarkEnd w:id="1"/>
    <w:p w14:paraId="5D4167D2">
      <w:pPr>
        <w:keepNext w:val="0"/>
        <w:keepLines w:val="0"/>
        <w:pageBreakBefore w:val="0"/>
        <w:widowControl w:val="0"/>
        <w:kinsoku/>
        <w:wordWrap/>
        <w:overflowPunct/>
        <w:topLinePunct w:val="0"/>
        <w:bidi w:val="0"/>
        <w:snapToGrid/>
        <w:spacing w:line="560" w:lineRule="exact"/>
        <w:ind w:left="0" w:leftChars="0"/>
        <w:jc w:val="both"/>
        <w:textAlignment w:val="auto"/>
        <w:rPr>
          <w:rFonts w:hint="default" w:ascii="Times New Roman" w:hAnsi="Times New Roman" w:eastAsia="方正小标宋简体" w:cs="Times New Roman"/>
          <w:color w:val="auto"/>
          <w:sz w:val="44"/>
          <w:szCs w:val="44"/>
        </w:rPr>
      </w:pPr>
    </w:p>
    <w:p w14:paraId="4F960490">
      <w:pPr>
        <w:keepNext w:val="0"/>
        <w:keepLines w:val="0"/>
        <w:pageBreakBefore w:val="0"/>
        <w:widowControl w:val="0"/>
        <w:kinsoku/>
        <w:wordWrap w:val="0"/>
        <w:overflowPunct/>
        <w:topLinePunct w:val="0"/>
        <w:bidi w:val="0"/>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一、申报途径</w:t>
      </w:r>
    </w:p>
    <w:p w14:paraId="5994463F">
      <w:pPr>
        <w:keepNext w:val="0"/>
        <w:keepLines w:val="0"/>
        <w:pageBreakBefore w:val="0"/>
        <w:widowControl w:val="0"/>
        <w:kinsoku/>
        <w:wordWrap w:val="0"/>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1.本次报送培育项目通过网上和纸质同步进行。</w:t>
      </w:r>
    </w:p>
    <w:p w14:paraId="54B633E8">
      <w:pPr>
        <w:keepNext w:val="0"/>
        <w:keepLines w:val="0"/>
        <w:pageBreakBefore w:val="0"/>
        <w:widowControl w:val="0"/>
        <w:kinsoku/>
        <w:wordWrap w:val="0"/>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2.申报主体须通过广州市工业和信息化发展专项资金项目管理系统</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以下简称“申报系统”，http://shenbao.gxj.gz.gov.cn/，技术支持电话：020－83757015，技术支持QQ客服：1428954896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进行网上申报，申报材料应包含全部申报资料。</w:t>
      </w:r>
    </w:p>
    <w:p w14:paraId="522CC3B0">
      <w:pPr>
        <w:keepNext w:val="0"/>
        <w:keepLines w:val="0"/>
        <w:pageBreakBefore w:val="0"/>
        <w:widowControl w:val="0"/>
        <w:kinsoku/>
        <w:wordWrap w:val="0"/>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3.纸质申报材料应从申报系统下载后打印（带水印，一式</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份），并加盖申请主体公章及骑缝章。</w:t>
      </w:r>
    </w:p>
    <w:p w14:paraId="5CA92009">
      <w:pPr>
        <w:keepNext w:val="0"/>
        <w:keepLines w:val="0"/>
        <w:pageBreakBefore w:val="0"/>
        <w:widowControl w:val="0"/>
        <w:kinsoku/>
        <w:wordWrap w:val="0"/>
        <w:overflowPunct/>
        <w:topLinePunct w:val="0"/>
        <w:bidi w:val="0"/>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二、申报流程</w:t>
      </w:r>
    </w:p>
    <w:p w14:paraId="6DD17268">
      <w:pPr>
        <w:keepNext w:val="0"/>
        <w:keepLines w:val="0"/>
        <w:pageBreakBefore w:val="0"/>
        <w:widowControl w:val="0"/>
        <w:kinsoku/>
        <w:wordWrap w:val="0"/>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color w:val="auto"/>
          <w:sz w:val="32"/>
          <w:szCs w:val="32"/>
        </w:rPr>
        <w:t>1.企业申报流程：（</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日12:00-</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日1</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:00）</w:t>
      </w:r>
    </w:p>
    <w:p w14:paraId="6C44C0E2">
      <w:pPr>
        <w:keepNext w:val="0"/>
        <w:keepLines w:val="0"/>
        <w:pageBreakBefore w:val="0"/>
        <w:widowControl w:val="0"/>
        <w:kinsoku/>
        <w:wordWrap w:val="0"/>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注册：专项资金管理系统不再提供企业管理员账号注册功能。如企业在“广东省统一身份认证平台”（https://tyrz.gd.gov.cn/）已有法人账号，可使用已有法人账号登录，登录后会自动关联专项资金管理系统现有管理员账号；企业如新注册管理员账号，需在“广东省统一身份认证平台”注册，注册后首次从“广东省统一身份认证平台”登录跳转到本系统时，补充核对企业基础信息后，完成专项资金管理系统管理员账号注册，然后点击“申报人管理”创建本单位项目申报人。已注册申报系统的单位可用原账号登录，无需重复注册。</w:t>
      </w:r>
    </w:p>
    <w:p w14:paraId="019CB4DD">
      <w:pPr>
        <w:keepNext w:val="0"/>
        <w:keepLines w:val="0"/>
        <w:pageBreakBefore w:val="0"/>
        <w:widowControl w:val="0"/>
        <w:kinsoku/>
        <w:wordWrap w:val="0"/>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（2）填报：用项目申报人账号登录后即可填报项目内容，填报完毕后提交企业管理员审核。</w:t>
      </w:r>
    </w:p>
    <w:p w14:paraId="34C96336">
      <w:pPr>
        <w:keepNext w:val="0"/>
        <w:keepLines w:val="0"/>
        <w:pageBreakBefore w:val="0"/>
        <w:widowControl w:val="0"/>
        <w:kinsoku/>
        <w:wordWrap w:val="0"/>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（3）网上提交：企业管理员审核完毕后，在系统提交给区初审。申报系统于</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日12:00开放申报，</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日1</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:00关闭申报通道，企业须在</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日1</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:00前完成网上首次提交，逾期不予受理；若项目被退回修改，须在</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日1</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:00前完成修改后再次提交，此后系统将关闭提交通道。</w:t>
      </w:r>
    </w:p>
    <w:p w14:paraId="72331930">
      <w:pPr>
        <w:keepNext w:val="0"/>
        <w:keepLines w:val="0"/>
        <w:pageBreakBefore w:val="0"/>
        <w:widowControl w:val="0"/>
        <w:kinsoku/>
        <w:wordWrap w:val="0"/>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（4）纸件提交：申报单位按区初审意见对项目申报材料修改完善后，将通过区审核的项目申报材料（带水印，一式2份）导出打印、盖章报送至区工业和信息化主管部门。</w:t>
      </w:r>
    </w:p>
    <w:p w14:paraId="3855B43C">
      <w:pPr>
        <w:keepNext w:val="0"/>
        <w:keepLines w:val="0"/>
        <w:pageBreakBefore w:val="0"/>
        <w:widowControl w:val="0"/>
        <w:kinsoku/>
        <w:wordWrap w:val="0"/>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2.区工作流程：（</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日12:00-</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日18:00）</w:t>
      </w:r>
    </w:p>
    <w:p w14:paraId="7E5637C3">
      <w:pPr>
        <w:keepNext w:val="0"/>
        <w:keepLines w:val="0"/>
        <w:pageBreakBefore w:val="0"/>
        <w:widowControl w:val="0"/>
        <w:kinsoku/>
        <w:wordWrap w:val="0"/>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（1）初审：</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日至</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日，区工信主管部门需对企业申报资料进行审核。若项目材料需退回企业修改、补充，须在</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日18:00前在系统完成审核提交工作，此后系统将关闭审核通道。</w:t>
      </w:r>
    </w:p>
    <w:p w14:paraId="3873FDDD">
      <w:pPr>
        <w:keepNext w:val="0"/>
        <w:keepLines w:val="0"/>
        <w:pageBreakBefore w:val="0"/>
        <w:widowControl w:val="0"/>
        <w:kinsoku/>
        <w:wordWrap w:val="0"/>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（2）报送申报材料：区工业和信息化主管部门呈区政府审核后，于</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日前将推荐函（以区政府名义或以局名义注明“经区人民政府同意”字样）及项目推荐汇总表、纸质版申报材料（带水印，一式</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份）盖章后报送至市工业和信息化局。</w:t>
      </w:r>
    </w:p>
    <w:p w14:paraId="3CF7F632">
      <w:pPr>
        <w:keepNext w:val="0"/>
        <w:keepLines w:val="0"/>
        <w:pageBreakBefore w:val="0"/>
        <w:widowControl w:val="0"/>
        <w:kinsoku/>
        <w:wordWrap w:val="0"/>
        <w:overflowPunct/>
        <w:topLinePunct w:val="0"/>
        <w:bidi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（3）系统确认：将报送的项目在申报系统中进行确认，同时将报送文件扫描上传。</w:t>
      </w:r>
    </w:p>
    <w:p w14:paraId="40AE8D8F">
      <w:pPr>
        <w:keepNext w:val="0"/>
        <w:keepLines w:val="0"/>
        <w:pageBreakBefore w:val="0"/>
        <w:widowControl w:val="0"/>
        <w:kinsoku/>
        <w:wordWrap w:val="0"/>
        <w:overflowPunct/>
        <w:topLinePunct w:val="0"/>
        <w:bidi w:val="0"/>
        <w:snapToGrid/>
        <w:spacing w:line="560" w:lineRule="exact"/>
        <w:ind w:firstLine="420" w:firstLineChars="200"/>
        <w:textAlignment w:val="auto"/>
        <w:rPr>
          <w:rFonts w:hint="default" w:ascii="Times New Roman" w:hAnsi="Times New Roman" w:cs="Times New Roman"/>
          <w:color w:val="auto"/>
        </w:rPr>
      </w:pPr>
    </w:p>
    <w:p w14:paraId="12BA474E">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0FD00029">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50CCD7E6">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53D47486">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75947AD5">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7EDC7F39">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39C22FEB">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4A3D5C20">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53E659DF">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765932F5">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3A1D08BA">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3A6BB674">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368857F8">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1A189A00">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743417C7">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5ADC8E32">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36B7DA04">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1AF2886D">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6C5EF060">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132A4491">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4BAEED8D">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附件5-1</w:t>
      </w:r>
    </w:p>
    <w:p w14:paraId="456026FD">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仿宋_GB2312" w:cs="Times New Roman"/>
          <w:color w:val="auto"/>
          <w:sz w:val="32"/>
          <w:szCs w:val="32"/>
          <w:lang w:eastAsia="zh-CN"/>
        </w:rPr>
      </w:pPr>
    </w:p>
    <w:p w14:paraId="5AB414B9">
      <w:pPr>
        <w:keepNext w:val="0"/>
        <w:keepLines w:val="0"/>
        <w:pageBreakBefore w:val="0"/>
        <w:widowControl w:val="0"/>
        <w:kinsoku/>
        <w:wordWrap/>
        <w:overflowPunct/>
        <w:topLinePunct w:val="0"/>
        <w:autoSpaceDE/>
        <w:autoSpaceDN/>
        <w:bidi w:val="0"/>
        <w:spacing w:beforeAutospacing="0"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特色标杆工业园</w:t>
      </w:r>
      <w:r>
        <w:rPr>
          <w:rFonts w:hint="default" w:ascii="Times New Roman" w:hAnsi="Times New Roman" w:eastAsia="方正小标宋简体" w:cs="Times New Roman"/>
          <w:color w:val="auto"/>
          <w:sz w:val="44"/>
          <w:szCs w:val="44"/>
        </w:rPr>
        <w:t>产业规划编制指引</w:t>
      </w:r>
    </w:p>
    <w:p w14:paraId="17E08543">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p>
    <w:p w14:paraId="7B833EFD">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一、项目概况</w:t>
      </w:r>
    </w:p>
    <w:p w14:paraId="691ACAA0">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项目发展背</w:t>
      </w:r>
      <w:r>
        <w:rPr>
          <w:rFonts w:hint="default" w:ascii="Times New Roman" w:hAnsi="Times New Roman" w:eastAsia="仿宋_GB2312" w:cs="Times New Roman"/>
          <w:color w:val="auto"/>
          <w:sz w:val="32"/>
          <w:szCs w:val="32"/>
          <w:lang w:eastAsia="zh-CN"/>
        </w:rPr>
        <w:t>况</w:t>
      </w:r>
      <w:r>
        <w:rPr>
          <w:rFonts w:hint="default" w:ascii="Times New Roman" w:hAnsi="Times New Roman" w:eastAsia="仿宋_GB2312" w:cs="Times New Roman"/>
          <w:color w:val="auto"/>
          <w:sz w:val="32"/>
          <w:szCs w:val="32"/>
        </w:rPr>
        <w:t>、规模、开发建设情况。说明片区发展规划的背景条件，项目地理位置、规模情况、开发建设进度等基本情况。</w:t>
      </w:r>
    </w:p>
    <w:p w14:paraId="64752E77">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二、上位规划分析</w:t>
      </w:r>
    </w:p>
    <w:p w14:paraId="7AA69C20">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区域发展战略、区域规划指引、区域发展格局。结合国家、省/湾区、市等战略背景，梳理各级发展规划对项目片区的任务要求、机遇。</w:t>
      </w:r>
      <w:bookmarkStart w:id="0" w:name="_Hlk171501916"/>
    </w:p>
    <w:p w14:paraId="33108826">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三、发展现状评价</w:t>
      </w:r>
    </w:p>
    <w:bookmarkEnd w:id="0"/>
    <w:p w14:paraId="122B75A5">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区位交通条件、产业现状基础、产业发展特征。项目片区经济社会发展水平、区位交通、土地资源、企业资源等现状情况，对产业基础、产业格局、产业发展优势及痛点需求等进行分析。</w:t>
      </w:r>
    </w:p>
    <w:p w14:paraId="2AD621A8">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四、片区发展定位</w:t>
      </w:r>
    </w:p>
    <w:p w14:paraId="14280A7C">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发展案例借鉴、片区总体定位、发展目标高度，对标同类产业发展片区优秀案例，总结片区发展可借鉴的发展模式经验与路径思路，衔接规划指引与产业评估，提出发展战略定位及近中远期发展目标。</w:t>
      </w:r>
    </w:p>
    <w:p w14:paraId="4AD9AF06">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五、产业发展研究</w:t>
      </w:r>
    </w:p>
    <w:p w14:paraId="5BC91356">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产业趋势分析、产业链研究、产业体系构建。从优势产业挖掘、区域产业协同、战略布局承接等维度梳理项目片区产业发展方向及适合导入的产业正面清单，结合产业链上下游分析，构建项目产业发展体系，包括主导产业、特色产业等选择，并提出相应的发展指引。</w:t>
      </w:r>
    </w:p>
    <w:p w14:paraId="4AC1BCCA">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六、产业空间布局</w:t>
      </w:r>
    </w:p>
    <w:p w14:paraId="50CA04F1">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片区功能体系、功能空间布局、分区发展指引。确定项目片区总体规划布局和细分功能业态，分片区提出主导产业选择、发展定位、园区发展模式和开发时序计划等指引建议。</w:t>
      </w:r>
    </w:p>
    <w:p w14:paraId="680C2560">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七、产业落地保障</w:t>
      </w:r>
    </w:p>
    <w:p w14:paraId="7161D5F7">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产业导入策略、重点项目策划、产业运营保障、政策创新建议。分区域、分主题、分梯队、分时期提出项目产业导入策略，选择重点项目开展内容策划及资源导入建议，同时就项目管理、运营等提出保障措施，并围绕产业落地需求从平台服务、政策供给、机制创新等维度提出措施建议。</w:t>
      </w:r>
    </w:p>
    <w:p w14:paraId="5ED95F15">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八、综合效益预估</w:t>
      </w:r>
    </w:p>
    <w:p w14:paraId="0667F12A">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结合项目片区属地产业导入政策要求、主导产业行业发展水平、对标案例等提出项目经济效益预估指标，及片区带动的社会效益提升情况。</w:t>
      </w:r>
    </w:p>
    <w:p w14:paraId="69CC5A1A">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p>
    <w:p w14:paraId="3882794D">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527BD549">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48CFA5CD">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23A32486">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4C3F4155">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2F22422A">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513CD975">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p>
    <w:p w14:paraId="0E5D18A3">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附件5-2</w:t>
      </w:r>
    </w:p>
    <w:p w14:paraId="5FAEF433">
      <w:pPr>
        <w:pStyle w:val="2"/>
        <w:keepNext w:val="0"/>
        <w:keepLines w:val="0"/>
        <w:pageBreakBefore w:val="0"/>
        <w:widowControl w:val="0"/>
        <w:kinsoku/>
        <w:wordWrap/>
        <w:overflowPunct/>
        <w:topLinePunct w:val="0"/>
        <w:autoSpaceDE/>
        <w:autoSpaceDN/>
        <w:bidi w:val="0"/>
        <w:snapToGrid w:val="0"/>
        <w:spacing w:before="0" w:beforeAutospacing="0" w:after="0" w:line="560" w:lineRule="exact"/>
        <w:jc w:val="both"/>
        <w:textAlignment w:val="auto"/>
        <w:rPr>
          <w:rFonts w:hint="default" w:ascii="Times New Roman" w:hAnsi="Times New Roman" w:eastAsia="仿宋_GB2312" w:cs="Times New Roman"/>
          <w:color w:val="auto"/>
          <w:sz w:val="32"/>
          <w:szCs w:val="32"/>
          <w:lang w:eastAsia="zh-CN"/>
        </w:rPr>
      </w:pPr>
    </w:p>
    <w:p w14:paraId="1BCC89C8">
      <w:pPr>
        <w:keepNext w:val="0"/>
        <w:keepLines w:val="0"/>
        <w:pageBreakBefore w:val="0"/>
        <w:widowControl w:val="0"/>
        <w:kinsoku/>
        <w:wordWrap/>
        <w:overflowPunct/>
        <w:topLinePunct w:val="0"/>
        <w:autoSpaceDE/>
        <w:autoSpaceDN/>
        <w:bidi w:val="0"/>
        <w:spacing w:beforeAutospacing="0"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特色标杆工业园</w:t>
      </w:r>
      <w:r>
        <w:rPr>
          <w:rFonts w:hint="default" w:ascii="Times New Roman" w:hAnsi="Times New Roman" w:eastAsia="方正小标宋简体" w:cs="Times New Roman"/>
          <w:color w:val="auto"/>
          <w:sz w:val="44"/>
          <w:szCs w:val="44"/>
        </w:rPr>
        <w:t>建设方案编制指引</w:t>
      </w:r>
    </w:p>
    <w:p w14:paraId="2EF3C0A3">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方正黑体_GBK" w:cs="Times New Roman"/>
          <w:color w:val="auto"/>
          <w:sz w:val="32"/>
          <w:szCs w:val="32"/>
        </w:rPr>
      </w:pPr>
    </w:p>
    <w:p w14:paraId="01A29C8F">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一、项目概况</w:t>
      </w:r>
    </w:p>
    <w:p w14:paraId="54C10267">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区位分析、项目背景、改造范围。说明项目建设的背景条件，项目本体的地理位置、规模等基本情况。</w:t>
      </w:r>
    </w:p>
    <w:p w14:paraId="2FB3CDE8">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二、现状分析</w:t>
      </w:r>
    </w:p>
    <w:p w14:paraId="4D671EDE">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土地权属情况、标图入库情况、用地现状梳理、产业现状梳理、现状设施情况（含生产、生活设施以及工业遗产、树木情况）。分析项目土地权属、标图入库、现状土地利用、建筑物使用、产业发展现状等基本情况。</w:t>
      </w:r>
    </w:p>
    <w:p w14:paraId="6D58DA67">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三、规划核查</w:t>
      </w:r>
    </w:p>
    <w:p w14:paraId="4251BE76">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分析项目国土空间规划、产业发展规划等各类规划情况，研判项目改造约束、适宜条件。</w:t>
      </w:r>
    </w:p>
    <w:p w14:paraId="580A3757">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四、建设目标与功能业态</w:t>
      </w:r>
    </w:p>
    <w:p w14:paraId="0B81214D">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建设目标、产业体系、功能业态布局、产业导入。明确项目建设目标，以及产业发展定位、体系、布局和指标等。</w:t>
      </w:r>
    </w:p>
    <w:p w14:paraId="412ABA5F">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五、建设计划</w:t>
      </w:r>
    </w:p>
    <w:p w14:paraId="62731A31">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1.明确项目建设方式及建设总平面图及建设指标、城市设计方案、项目建设方案、投资测算以及建设时序、计划。</w:t>
      </w:r>
    </w:p>
    <w:p w14:paraId="05490CD3">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2.明确项目主导产业相关的公共设备、服务设施、中试测试等平台建设的具体内容、投资预算和建设计划、时序等。</w:t>
      </w:r>
    </w:p>
    <w:p w14:paraId="612832FC">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3.梳理呈现项目建设过程中涉及历史文化遗产保护、树木保护、海绵城市等改造要点。</w:t>
      </w:r>
    </w:p>
    <w:p w14:paraId="03B40372">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六、园区服务体系建设规划</w:t>
      </w:r>
    </w:p>
    <w:p w14:paraId="2DAE527E">
      <w:pPr>
        <w:keepNext w:val="0"/>
        <w:keepLines w:val="0"/>
        <w:pageBreakBefore w:val="0"/>
        <w:widowControl w:val="0"/>
        <w:kinsoku/>
        <w:wordWrap/>
        <w:overflowPunct/>
        <w:topLinePunct w:val="0"/>
        <w:autoSpaceDE/>
        <w:autoSpaceDN/>
        <w:bidi w:val="0"/>
        <w:spacing w:beforeAutospacing="0" w:line="560" w:lineRule="exact"/>
        <w:ind w:firstLine="63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围绕园区建设目标拟制项目建设时效及资金项目绩效目标等相关内容，包括但不局限于园区产业创新中心、服务平台、基金、运营管理机制、智慧园区等方面规划建设思路、建设时间计划等。</w:t>
      </w:r>
    </w:p>
    <w:p w14:paraId="25BD3E06">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七、效益分析</w:t>
      </w:r>
    </w:p>
    <w:p w14:paraId="472CE33B">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社会效益、经济效益、环境效益。</w:t>
      </w:r>
    </w:p>
    <w:p w14:paraId="190B67AF">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八、实施保障</w:t>
      </w:r>
    </w:p>
    <w:p w14:paraId="46EFF67E">
      <w:pPr>
        <w:keepNext w:val="0"/>
        <w:keepLines w:val="0"/>
        <w:pageBreakBefore w:val="0"/>
        <w:widowControl w:val="0"/>
        <w:kinsoku/>
        <w:wordWrap/>
        <w:overflowPunct/>
        <w:topLinePunct w:val="0"/>
        <w:autoSpaceDE/>
        <w:autoSpaceDN/>
        <w:bidi w:val="0"/>
        <w:spacing w:beforeAutospacing="0"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包括但不局限于区级财政投入园区建设、产业导入、产业运营管理等方面的保障措施。</w:t>
      </w:r>
    </w:p>
    <w:p w14:paraId="4E1E2A48">
      <w:pPr>
        <w:widowControl/>
        <w:spacing w:line="640" w:lineRule="exact"/>
        <w:ind w:firstLine="640" w:firstLineChars="200"/>
        <w:jc w:val="left"/>
        <w:rPr>
          <w:rFonts w:hint="default" w:ascii="Times New Roman" w:hAnsi="Times New Roman" w:eastAsia="仿宋_GB2312" w:cs="Times New Roman"/>
          <w:color w:val="auto"/>
          <w:sz w:val="32"/>
          <w:szCs w:val="32"/>
        </w:rPr>
      </w:pPr>
    </w:p>
    <w:p w14:paraId="519360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F2D00"/>
    <w:rsid w:val="3FB03189"/>
    <w:rsid w:val="559F2D00"/>
    <w:rsid w:val="6EBB0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spacing w:before="0" w:after="140" w:line="276" w:lineRule="auto"/>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paragraph" w:customStyle="1" w:styleId="8">
    <w:name w:val="Char"/>
    <w:basedOn w:val="1"/>
    <w:qFormat/>
    <w:uiPriority w:val="0"/>
    <w:pPr>
      <w:tabs>
        <w:tab w:val="left" w:pos="425"/>
      </w:tabs>
      <w:ind w:left="425" w:hanging="425"/>
    </w:pPr>
    <w:rPr>
      <w:rFonts w:eastAsia="仿宋_GB2312"/>
      <w:kern w:val="24"/>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2025-07-03T10:09:00Z</dcterms:created>
  <dc:creator>钱大大</dc:creator>
  <cp:lastModifiedBy>钱大大</cp:lastModifiedBy>
  <dcterms:modified xsi:type="dcterms:W3CDTF">2025-07-03T10:12:27Z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331F51EC6C504FBA8794F390160A18E5_13</vt:lpwstr>
  </property>
  <property fmtid="{D5CDD505-2E9C-101B-9397-08002B2CF9AE}" pid="4" name="KSOTemplateDocerSaveRecord">
    <vt:lpwstr>eyJoZGlkIjoiMjMzMzI5MzFiZjJjOWQwOTYyMDQwNTgxOTRkODYyYmIiLCJ1c2VySWQiOiI1NjY3OTk4MjgifQ==</vt:lpwstr>
  </property>
</Properties>
</file>