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48A33">
      <w:pPr>
        <w:spacing w:line="560" w:lineRule="exact"/>
        <w:jc w:val="center"/>
        <w:rPr>
          <w:rFonts w:hint="default" w:ascii="Times New Roman" w:hAnsi="Times New Roman" w:eastAsia="方正小标宋简体" w:cs="Times New Roman"/>
          <w:bCs/>
          <w:sz w:val="44"/>
          <w:szCs w:val="44"/>
        </w:rPr>
      </w:pPr>
    </w:p>
    <w:p w14:paraId="3120541A">
      <w:pPr>
        <w:spacing w:line="560" w:lineRule="exact"/>
        <w:jc w:val="center"/>
        <w:rPr>
          <w:rFonts w:hint="default" w:ascii="Times New Roman" w:hAnsi="Times New Roman" w:eastAsia="方正小标宋简体" w:cs="Times New Roman"/>
          <w:bCs/>
          <w:sz w:val="44"/>
          <w:szCs w:val="44"/>
        </w:rPr>
      </w:pPr>
    </w:p>
    <w:p w14:paraId="62407A56">
      <w:pPr>
        <w:spacing w:line="560" w:lineRule="exact"/>
        <w:jc w:val="center"/>
        <w:rPr>
          <w:rFonts w:hint="default" w:ascii="Times New Roman" w:hAnsi="Times New Roman" w:eastAsia="方正小标宋简体" w:cs="Times New Roman"/>
          <w:bCs/>
          <w:sz w:val="44"/>
          <w:szCs w:val="44"/>
        </w:rPr>
      </w:pPr>
    </w:p>
    <w:p w14:paraId="371D1902">
      <w:pPr>
        <w:spacing w:line="560" w:lineRule="exact"/>
        <w:jc w:val="center"/>
        <w:rPr>
          <w:rFonts w:hint="default" w:ascii="Times New Roman" w:hAnsi="Times New Roman" w:eastAsia="方正小标宋简体" w:cs="Times New Roman"/>
          <w:bCs/>
          <w:sz w:val="44"/>
          <w:szCs w:val="44"/>
        </w:rPr>
      </w:pPr>
    </w:p>
    <w:p w14:paraId="2CC1250E">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cs="Times New Roman"/>
          <w:b/>
          <w:sz w:val="44"/>
          <w:szCs w:val="44"/>
        </w:rPr>
        <w:drawing>
          <wp:anchor distT="0" distB="0" distL="114300" distR="114300" simplePos="0" relativeHeight="251659264" behindDoc="1" locked="0" layoutInCell="1" allowOverlap="1">
            <wp:simplePos x="0" y="0"/>
            <wp:positionH relativeFrom="page">
              <wp:posOffset>57785</wp:posOffset>
            </wp:positionH>
            <wp:positionV relativeFrom="page">
              <wp:posOffset>3027680</wp:posOffset>
            </wp:positionV>
            <wp:extent cx="7221220" cy="1801495"/>
            <wp:effectExtent l="0" t="0" r="2540" b="1206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rcRect t="23083" b="59317"/>
                    <a:stretch>
                      <a:fillRect/>
                    </a:stretch>
                  </pic:blipFill>
                  <pic:spPr>
                    <a:xfrm>
                      <a:off x="0" y="0"/>
                      <a:ext cx="7221220" cy="1801495"/>
                    </a:xfrm>
                    <a:prstGeom prst="rect">
                      <a:avLst/>
                    </a:prstGeom>
                    <a:noFill/>
                    <a:ln>
                      <a:noFill/>
                    </a:ln>
                  </pic:spPr>
                </pic:pic>
              </a:graphicData>
            </a:graphic>
          </wp:anchor>
        </w:drawing>
      </w:r>
    </w:p>
    <w:p w14:paraId="0A8F8621">
      <w:pPr>
        <w:spacing w:line="560" w:lineRule="exact"/>
        <w:jc w:val="center"/>
        <w:rPr>
          <w:rFonts w:hint="default" w:ascii="Times New Roman" w:hAnsi="Times New Roman" w:eastAsia="方正小标宋简体" w:cs="Times New Roman"/>
          <w:bCs/>
          <w:sz w:val="44"/>
          <w:szCs w:val="44"/>
        </w:rPr>
      </w:pPr>
    </w:p>
    <w:p w14:paraId="5EEF1BAF">
      <w:pPr>
        <w:spacing w:line="560" w:lineRule="exact"/>
        <w:jc w:val="center"/>
        <w:rPr>
          <w:rFonts w:hint="default" w:ascii="Times New Roman" w:hAnsi="Times New Roman" w:eastAsia="方正小标宋简体" w:cs="Times New Roman"/>
          <w:bCs/>
          <w:sz w:val="44"/>
          <w:szCs w:val="44"/>
        </w:rPr>
      </w:pPr>
    </w:p>
    <w:p w14:paraId="59F6E46C">
      <w:pPr>
        <w:spacing w:line="560" w:lineRule="exact"/>
        <w:jc w:val="center"/>
        <w:rPr>
          <w:rFonts w:hint="default" w:ascii="Times New Roman" w:hAnsi="Times New Roman" w:eastAsia="方正小标宋简体" w:cs="Times New Roman"/>
          <w:bCs/>
          <w:sz w:val="44"/>
          <w:szCs w:val="44"/>
        </w:rPr>
      </w:pPr>
    </w:p>
    <w:p w14:paraId="68FC2E62">
      <w:pPr>
        <w:pageBreakBefore w:val="0"/>
        <w:widowControl w:val="0"/>
        <w:kinsoku/>
        <w:overflowPunct/>
        <w:topLinePunct w:val="0"/>
        <w:autoSpaceDE/>
        <w:autoSpaceDN/>
        <w:bidi w:val="0"/>
        <w:adjustRightInd/>
        <w:snapToGrid/>
        <w:spacing w:before="0" w:beforeAutospacing="0" w:after="0" w:afterAutospacing="0" w:line="560" w:lineRule="exact"/>
        <w:ind w:firstLine="0" w:firstLineChars="0"/>
        <w:jc w:val="center"/>
        <w:textAlignment w:val="auto"/>
        <w:outlineLvl w:val="0"/>
        <w:rPr>
          <w:rFonts w:hint="default" w:ascii="Times New Roman" w:hAnsi="Times New Roman" w:eastAsia="仿宋_GB2312" w:cs="Times New Roman"/>
          <w:kern w:val="44"/>
          <w:sz w:val="32"/>
          <w:szCs w:val="20"/>
          <w:lang w:val="en-US" w:eastAsia="zh-CN" w:bidi="ar"/>
        </w:rPr>
      </w:pPr>
      <w:r>
        <w:rPr>
          <w:rFonts w:hint="default" w:ascii="Times New Roman" w:hAnsi="Times New Roman" w:eastAsia="仿宋_GB2312" w:cs="Times New Roman"/>
          <w:kern w:val="44"/>
          <w:sz w:val="32"/>
          <w:szCs w:val="20"/>
          <w:lang w:val="en-US" w:eastAsia="zh-CN" w:bidi="ar"/>
        </w:rPr>
        <w:t>穗开知〔2025〕</w:t>
      </w:r>
      <w:r>
        <w:rPr>
          <w:rFonts w:hint="default" w:ascii="Times New Roman" w:hAnsi="Times New Roman" w:eastAsia="仿宋_GB2312" w:cs="Times New Roman"/>
          <w:kern w:val="44"/>
          <w:sz w:val="32"/>
          <w:szCs w:val="20"/>
          <w:lang w:val="en-US" w:eastAsia="zh-CN" w:bidi="ar"/>
        </w:rPr>
        <w:t>20</w:t>
      </w:r>
      <w:r>
        <w:rPr>
          <w:rFonts w:hint="default" w:ascii="Times New Roman" w:hAnsi="Times New Roman" w:eastAsia="仿宋_GB2312" w:cs="Times New Roman"/>
          <w:kern w:val="44"/>
          <w:sz w:val="32"/>
          <w:szCs w:val="20"/>
          <w:lang w:val="en-US" w:eastAsia="zh-CN" w:bidi="ar"/>
        </w:rPr>
        <w:t>号</w:t>
      </w:r>
    </w:p>
    <w:p w14:paraId="218215A8">
      <w:pPr>
        <w:spacing w:line="560" w:lineRule="exact"/>
        <w:jc w:val="center"/>
        <w:rPr>
          <w:rFonts w:hint="default" w:ascii="Times New Roman" w:hAnsi="Times New Roman" w:eastAsia="方正小标宋简体" w:cs="Times New Roman"/>
          <w:bCs/>
          <w:sz w:val="44"/>
          <w:szCs w:val="44"/>
        </w:rPr>
      </w:pPr>
    </w:p>
    <w:p w14:paraId="16BDD26F">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关于印发《</w:t>
      </w:r>
      <w:r>
        <w:rPr>
          <w:rFonts w:hint="default" w:ascii="Times New Roman" w:hAnsi="Times New Roman" w:eastAsia="方正小标宋简体" w:cs="Times New Roman"/>
          <w:bCs/>
          <w:sz w:val="44"/>
          <w:szCs w:val="44"/>
        </w:rPr>
        <w:t>2025年度广州开发区 广州市黄埔区知识产权服务券使用及监管工作方案</w:t>
      </w:r>
      <w:r>
        <w:rPr>
          <w:rFonts w:hint="default" w:ascii="Times New Roman" w:hAnsi="Times New Roman" w:eastAsia="方正小标宋简体" w:cs="Times New Roman"/>
          <w:bCs/>
          <w:sz w:val="44"/>
          <w:szCs w:val="44"/>
        </w:rPr>
        <w:t>》</w:t>
      </w:r>
    </w:p>
    <w:p w14:paraId="17F93763">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的通知</w:t>
      </w:r>
    </w:p>
    <w:p w14:paraId="66E946D1">
      <w:pPr>
        <w:keepNext w:val="0"/>
        <w:keepLines w:val="0"/>
        <w:pageBreakBefore w:val="0"/>
        <w:kinsoku/>
        <w:wordWrap/>
        <w:overflowPunct/>
        <w:topLinePunct w:val="0"/>
        <w:bidi w:val="0"/>
        <w:spacing w:line="560" w:lineRule="exact"/>
        <w:ind w:firstLine="0" w:firstLineChars="0"/>
        <w:jc w:val="both"/>
        <w:rPr>
          <w:rFonts w:hint="default" w:ascii="Times New Roman" w:hAnsi="Times New Roman" w:eastAsia="方正小标宋_GBK" w:cs="Times New Roman"/>
          <w:sz w:val="44"/>
          <w:szCs w:val="44"/>
          <w:lang w:bidi="ar"/>
        </w:rPr>
      </w:pPr>
    </w:p>
    <w:p w14:paraId="52C94A41">
      <w:pPr>
        <w:keepNext w:val="0"/>
        <w:keepLines w:val="0"/>
        <w:pageBreakBefore w:val="0"/>
        <w:kinsoku/>
        <w:wordWrap/>
        <w:overflowPunct/>
        <w:topLinePunct w:val="0"/>
        <w:bidi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14:paraId="6CA29BA7">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为贯彻落实《广州开发区管委会 广州市黄埔区人民政府关于印发广州开发区（黄埔区）深化生产性服务业与先进制造业“两业融合”加快培育新质生产力若干举措的通知》（穗埔府规〔2025〕6号）中“支持政策”第六条规定，推广“知识产权服务券”机制，规范知识产权服务券（以下简称“服务券”）使用及监管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我局</w:t>
      </w:r>
      <w:r>
        <w:rPr>
          <w:rFonts w:hint="default" w:ascii="Times New Roman" w:hAnsi="Times New Roman" w:eastAsia="仿宋_GB2312" w:cs="Times New Roman"/>
          <w:sz w:val="32"/>
          <w:szCs w:val="32"/>
        </w:rPr>
        <w:t>编制了《</w:t>
      </w:r>
      <w:r>
        <w:rPr>
          <w:rFonts w:hint="default" w:ascii="Times New Roman" w:hAnsi="Times New Roman" w:eastAsia="仿宋_GB2312" w:cs="Times New Roman"/>
          <w:sz w:val="32"/>
          <w:szCs w:val="32"/>
        </w:rPr>
        <w:t>2025年度广州开发区 广州市黄埔区知识产权服务券使用及监管工作方案</w:t>
      </w:r>
      <w:r>
        <w:rPr>
          <w:rFonts w:hint="default" w:ascii="Times New Roman" w:hAnsi="Times New Roman" w:eastAsia="仿宋_GB2312" w:cs="Times New Roman"/>
          <w:sz w:val="32"/>
          <w:szCs w:val="32"/>
        </w:rPr>
        <w:t>》。现印发给你们，</w:t>
      </w:r>
      <w:r>
        <w:rPr>
          <w:rFonts w:hint="default" w:ascii="Times New Roman" w:hAnsi="Times New Roman" w:eastAsia="仿宋_GB2312" w:cs="Times New Roman"/>
          <w:sz w:val="32"/>
          <w:szCs w:val="32"/>
        </w:rPr>
        <w:t>请认真按照执行。</w:t>
      </w:r>
    </w:p>
    <w:p w14:paraId="1C73CB67">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特此通知</w:t>
      </w:r>
    </w:p>
    <w:p w14:paraId="081F25A2">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p>
    <w:p w14:paraId="3BE075DB">
      <w:pPr>
        <w:keepNext w:val="0"/>
        <w:keepLines w:val="0"/>
        <w:pageBreakBefore w:val="0"/>
        <w:kinsoku/>
        <w:wordWrap/>
        <w:overflowPunct/>
        <w:topLinePunct w:val="0"/>
        <w:bidi w:val="0"/>
        <w:spacing w:line="560" w:lineRule="exact"/>
        <w:ind w:left="1598" w:leftChars="304" w:hanging="960" w:hanging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rPr>
        <w:t>2025年度广州开发区 广州市黄埔区知识产权服务券使用及监管工作方案</w:t>
      </w:r>
    </w:p>
    <w:p w14:paraId="2C9D1509">
      <w:pPr>
        <w:keepNext w:val="0"/>
        <w:keepLines w:val="0"/>
        <w:pageBreakBefore w:val="0"/>
        <w:kinsoku/>
        <w:wordWrap/>
        <w:overflowPunct/>
        <w:topLinePunct w:val="0"/>
        <w:bidi w:val="0"/>
        <w:spacing w:line="560" w:lineRule="exact"/>
        <w:ind w:left="1598" w:leftChars="304" w:hanging="960" w:hangingChars="300"/>
        <w:rPr>
          <w:rFonts w:hint="default" w:ascii="Times New Roman" w:hAnsi="Times New Roman" w:eastAsia="仿宋_GB2312" w:cs="Times New Roman"/>
          <w:sz w:val="32"/>
          <w:szCs w:val="32"/>
        </w:rPr>
      </w:pPr>
      <w:r>
        <w:rPr>
          <w:sz w:val="32"/>
        </w:rPr>
        <w:pict>
          <v:shape id="_x0000_s1027" o:spid="_x0000_s1027" o:spt="201" alt="" type="#_x0000_t201" style="position:absolute;left:0pt;margin-left:273.15pt;margin-top:3.4pt;height:121pt;width:121pt;z-index:-251654144;mso-width-relative:page;mso-height-relative:page;" o:ole="t" filled="f" o:preferrelative="t" stroked="f" coordsize="21600,21600">
            <v:path/>
            <v:fill on="f" focussize="0,0"/>
            <v:stroke on="f"/>
            <v:imagedata r:id="rId10" o:title=""/>
            <o:lock v:ext="edit" aspectratio="f"/>
          </v:shape>
          <w:control r:id="rId9" w:name="CWordOLECtrl1" w:shapeid="_x0000_s1027"/>
        </w:pict>
      </w:r>
    </w:p>
    <w:p w14:paraId="3C4B1F9F">
      <w:pPr>
        <w:keepNext w:val="0"/>
        <w:keepLines w:val="0"/>
        <w:pageBreakBefore w:val="0"/>
        <w:kinsoku/>
        <w:wordWrap/>
        <w:overflowPunct/>
        <w:topLinePunct w:val="0"/>
        <w:bidi w:val="0"/>
        <w:spacing w:line="560" w:lineRule="exact"/>
        <w:ind w:left="1598" w:leftChars="304" w:hanging="960" w:hangingChars="300"/>
        <w:rPr>
          <w:rFonts w:hint="default" w:ascii="Times New Roman" w:hAnsi="Times New Roman" w:eastAsia="仿宋_GB2312" w:cs="Times New Roman"/>
          <w:sz w:val="32"/>
          <w:szCs w:val="32"/>
        </w:rPr>
      </w:pPr>
    </w:p>
    <w:p w14:paraId="1FE18437">
      <w:pPr>
        <w:keepNext w:val="0"/>
        <w:keepLines w:val="0"/>
        <w:pageBreakBefore w:val="0"/>
        <w:kinsoku/>
        <w:wordWrap/>
        <w:overflowPunct/>
        <w:topLinePunct w:val="0"/>
        <w:bidi w:val="0"/>
        <w:spacing w:line="56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广州开发区知识产权局</w:t>
      </w:r>
    </w:p>
    <w:p w14:paraId="4E213E78">
      <w:pPr>
        <w:keepNext w:val="0"/>
        <w:keepLines w:val="0"/>
        <w:pageBreakBefore w:val="0"/>
        <w:widowControl w:val="0"/>
        <w:kinsoku/>
        <w:wordWrap/>
        <w:overflowPunct/>
        <w:topLinePunct w:val="0"/>
        <w:autoSpaceDE/>
        <w:autoSpaceDN/>
        <w:bidi w:val="0"/>
        <w:adjustRightInd/>
        <w:snapToGrid/>
        <w:spacing w:line="560" w:lineRule="exact"/>
        <w:ind w:left="0" w:leftChars="0" w:right="840" w:rightChars="400" w:firstLine="0" w:firstLineChars="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p>
    <w:p w14:paraId="5BEC36B2">
      <w:pPr>
        <w:keepNext w:val="0"/>
        <w:keepLines w:val="0"/>
        <w:pageBreakBefore w:val="0"/>
        <w:kinsoku/>
        <w:wordWrap/>
        <w:overflowPunct/>
        <w:topLinePunct w:val="0"/>
        <w:bidi w:val="0"/>
        <w:spacing w:line="560" w:lineRule="exact"/>
        <w:jc w:val="left"/>
        <w:rPr>
          <w:rFonts w:hint="default" w:ascii="Times New Roman" w:hAnsi="Times New Roman" w:eastAsia="方正小标宋简体" w:cs="Times New Roman"/>
          <w:b w:val="0"/>
          <w:bCs/>
          <w:sz w:val="44"/>
          <w:szCs w:val="44"/>
          <w:highlight w:val="none"/>
          <w:u w:val="none"/>
          <w:lang w:val="en-US" w:eastAsia="zh-CN"/>
        </w:rPr>
      </w:pPr>
      <w:r>
        <w:rPr>
          <w:rFonts w:hint="default" w:ascii="Times New Roman" w:hAnsi="Times New Roman" w:eastAsia="方正小标宋简体" w:cs="Times New Roman"/>
          <w:b w:val="0"/>
          <w:bCs/>
          <w:sz w:val="44"/>
          <w:szCs w:val="44"/>
          <w:highlight w:val="none"/>
          <w:u w:val="none"/>
          <w:lang w:val="en-US" w:eastAsia="zh-CN"/>
        </w:rPr>
        <w:br w:type="page"/>
      </w:r>
      <w:bookmarkStart w:id="0" w:name="_GoBack"/>
      <w:bookmarkEnd w:id="0"/>
    </w:p>
    <w:p w14:paraId="71ADE5FA">
      <w:pPr>
        <w:keepNext w:val="0"/>
        <w:keepLines w:val="0"/>
        <w:pageBreakBefore w:val="0"/>
        <w:kinsoku/>
        <w:wordWrap/>
        <w:overflowPunct/>
        <w:topLinePunct w:val="0"/>
        <w:bidi w:val="0"/>
        <w:spacing w:line="560" w:lineRule="exact"/>
        <w:jc w:val="center"/>
        <w:rPr>
          <w:rFonts w:hint="default" w:ascii="Times New Roman" w:hAnsi="Times New Roman" w:eastAsia="方正小标宋简体" w:cs="Times New Roman"/>
          <w:b w:val="0"/>
          <w:bCs/>
          <w:sz w:val="44"/>
          <w:szCs w:val="44"/>
          <w:highlight w:val="none"/>
          <w:u w:val="none"/>
          <w:lang w:eastAsia="zh-CN"/>
        </w:rPr>
      </w:pPr>
      <w:r>
        <w:rPr>
          <w:rFonts w:hint="default" w:ascii="Times New Roman" w:hAnsi="Times New Roman" w:eastAsia="方正小标宋简体" w:cs="Times New Roman"/>
          <w:b w:val="0"/>
          <w:bCs/>
          <w:sz w:val="44"/>
          <w:szCs w:val="44"/>
          <w:highlight w:val="none"/>
          <w:u w:val="none"/>
          <w:lang w:val="en-US" w:eastAsia="zh-CN"/>
        </w:rPr>
        <w:t>2025年度</w:t>
      </w:r>
      <w:r>
        <w:rPr>
          <w:rFonts w:hint="default" w:ascii="Times New Roman" w:hAnsi="Times New Roman" w:eastAsia="方正小标宋简体" w:cs="Times New Roman"/>
          <w:b w:val="0"/>
          <w:bCs/>
          <w:sz w:val="44"/>
          <w:szCs w:val="44"/>
          <w:highlight w:val="none"/>
          <w:u w:val="none"/>
          <w:lang w:eastAsia="zh-CN"/>
        </w:rPr>
        <w:t>广州开发区</w:t>
      </w:r>
      <w:r>
        <w:rPr>
          <w:rFonts w:hint="default" w:ascii="Times New Roman" w:hAnsi="Times New Roman" w:eastAsia="方正小标宋简体" w:cs="Times New Roman"/>
          <w:b w:val="0"/>
          <w:bCs/>
          <w:sz w:val="44"/>
          <w:szCs w:val="44"/>
          <w:highlight w:val="none"/>
          <w:u w:val="none"/>
          <w:lang w:val="en-US" w:eastAsia="zh-CN"/>
        </w:rPr>
        <w:t xml:space="preserve"> </w:t>
      </w:r>
      <w:r>
        <w:rPr>
          <w:rFonts w:hint="default" w:ascii="Times New Roman" w:hAnsi="Times New Roman" w:eastAsia="方正小标宋简体" w:cs="Times New Roman"/>
          <w:b w:val="0"/>
          <w:bCs/>
          <w:sz w:val="44"/>
          <w:szCs w:val="44"/>
          <w:highlight w:val="none"/>
          <w:u w:val="none"/>
          <w:lang w:eastAsia="zh-CN"/>
        </w:rPr>
        <w:t>广州市黄埔区知识产权服务券</w:t>
      </w:r>
      <w:r>
        <w:rPr>
          <w:rFonts w:hint="default" w:ascii="Times New Roman" w:hAnsi="Times New Roman" w:eastAsia="方正小标宋简体" w:cs="Times New Roman"/>
          <w:b w:val="0"/>
          <w:bCs/>
          <w:sz w:val="44"/>
          <w:szCs w:val="44"/>
          <w:highlight w:val="none"/>
          <w:u w:val="none"/>
          <w:lang w:val="en-US" w:eastAsia="zh-CN"/>
        </w:rPr>
        <w:t>使用及监管工作</w:t>
      </w:r>
      <w:r>
        <w:rPr>
          <w:rFonts w:hint="default" w:ascii="Times New Roman" w:hAnsi="Times New Roman" w:eastAsia="方正小标宋简体" w:cs="Times New Roman"/>
          <w:b w:val="0"/>
          <w:bCs/>
          <w:sz w:val="44"/>
          <w:szCs w:val="44"/>
          <w:highlight w:val="none"/>
          <w:u w:val="none"/>
          <w:lang w:eastAsia="zh-CN"/>
        </w:rPr>
        <w:t>方案</w:t>
      </w:r>
    </w:p>
    <w:p w14:paraId="752F2874">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sz w:val="32"/>
          <w:szCs w:val="32"/>
          <w:highlight w:val="none"/>
          <w:u w:val="none"/>
        </w:rPr>
      </w:pPr>
    </w:p>
    <w:p w14:paraId="23E2AB08">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为贯彻落实</w:t>
      </w:r>
      <w:r>
        <w:rPr>
          <w:rFonts w:hint="default" w:ascii="Times New Roman" w:hAnsi="Times New Roman" w:eastAsia="仿宋_GB2312" w:cs="Times New Roman"/>
          <w:sz w:val="32"/>
          <w:szCs w:val="32"/>
          <w:highlight w:val="none"/>
          <w:u w:val="none"/>
          <w:lang w:eastAsia="zh-CN"/>
        </w:rPr>
        <w:t>《广州开发区管委会 广州市黄埔区人民政府关于印发广州开发区（黄埔区）深化生产性服务业与先进制造业“两业融合”加快培育新质生产力若干举措的通知》</w:t>
      </w:r>
      <w:r>
        <w:rPr>
          <w:rFonts w:hint="default" w:ascii="Times New Roman" w:hAnsi="Times New Roman" w:eastAsia="仿宋_GB2312" w:cs="Times New Roman"/>
          <w:sz w:val="32"/>
          <w:szCs w:val="32"/>
          <w:highlight w:val="none"/>
          <w:u w:val="none"/>
          <w:lang w:eastAsia="zh-CN"/>
        </w:rPr>
        <w:t>（穗埔府规〔2025〕6号）</w:t>
      </w:r>
      <w:r>
        <w:rPr>
          <w:rFonts w:hint="default" w:ascii="Times New Roman" w:hAnsi="Times New Roman" w:eastAsia="仿宋_GB2312" w:cs="Times New Roman"/>
          <w:sz w:val="32"/>
          <w:szCs w:val="32"/>
          <w:highlight w:val="none"/>
          <w:u w:val="none"/>
          <w:lang w:val="en-US" w:eastAsia="zh-CN"/>
        </w:rPr>
        <w:t>中</w:t>
      </w:r>
      <w:r>
        <w:rPr>
          <w:rFonts w:hint="default" w:ascii="Times New Roman" w:hAnsi="Times New Roman" w:eastAsia="仿宋_GB2312" w:cs="Times New Roman"/>
          <w:sz w:val="32"/>
          <w:szCs w:val="32"/>
          <w:highlight w:val="none"/>
          <w:u w:val="none"/>
        </w:rPr>
        <w:t>“支持政策”第六条规定</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推广“知识产权服务券”机制，</w:t>
      </w:r>
      <w:r>
        <w:rPr>
          <w:rFonts w:hint="default" w:ascii="Times New Roman" w:hAnsi="Times New Roman" w:eastAsia="仿宋_GB2312" w:cs="Times New Roman"/>
          <w:sz w:val="32"/>
          <w:szCs w:val="32"/>
          <w:highlight w:val="none"/>
          <w:u w:val="none"/>
          <w:lang w:val="en-US" w:eastAsia="zh-CN"/>
        </w:rPr>
        <w:t>规范知识产权</w:t>
      </w:r>
      <w:r>
        <w:rPr>
          <w:rFonts w:hint="default" w:ascii="Times New Roman" w:hAnsi="Times New Roman" w:eastAsia="仿宋_GB2312" w:cs="Times New Roman"/>
          <w:sz w:val="32"/>
          <w:szCs w:val="32"/>
          <w:highlight w:val="none"/>
          <w:u w:val="none"/>
        </w:rPr>
        <w:t>服务券</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以下简称“服务券”</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使用及监管工作，</w:t>
      </w:r>
      <w:r>
        <w:rPr>
          <w:rFonts w:hint="default" w:ascii="Times New Roman" w:hAnsi="Times New Roman" w:eastAsia="仿宋_GB2312" w:cs="Times New Roman"/>
          <w:sz w:val="32"/>
          <w:szCs w:val="32"/>
          <w:highlight w:val="none"/>
          <w:u w:val="none"/>
        </w:rPr>
        <w:t>特制定本方案。</w:t>
      </w:r>
    </w:p>
    <w:p w14:paraId="40F5080A">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黑体" w:cs="Times New Roman"/>
          <w:sz w:val="32"/>
          <w:szCs w:val="32"/>
          <w:highlight w:val="none"/>
          <w:u w:val="none"/>
          <w:lang w:val="en-US"/>
        </w:rPr>
      </w:pPr>
      <w:r>
        <w:rPr>
          <w:rFonts w:hint="default" w:ascii="Times New Roman" w:hAnsi="Times New Roman" w:eastAsia="黑体" w:cs="Times New Roman"/>
          <w:bCs/>
          <w:sz w:val="32"/>
          <w:szCs w:val="32"/>
          <w:highlight w:val="none"/>
          <w:u w:val="none"/>
        </w:rPr>
        <w:t>一、</w:t>
      </w:r>
      <w:r>
        <w:rPr>
          <w:rFonts w:hint="default" w:ascii="Times New Roman" w:hAnsi="Times New Roman" w:eastAsia="黑体" w:cs="Times New Roman"/>
          <w:bCs/>
          <w:sz w:val="32"/>
          <w:szCs w:val="32"/>
          <w:highlight w:val="none"/>
          <w:u w:val="none"/>
          <w:lang w:val="en-US" w:eastAsia="zh-CN"/>
        </w:rPr>
        <w:t>实施目标</w:t>
      </w:r>
    </w:p>
    <w:p w14:paraId="7900FE9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为推动知识产权服务与先进制造业深度融合，</w:t>
      </w:r>
      <w:r>
        <w:rPr>
          <w:rFonts w:hint="default" w:ascii="Times New Roman" w:hAnsi="Times New Roman" w:eastAsia="仿宋_GB2312" w:cs="Times New Roman"/>
          <w:sz w:val="32"/>
          <w:szCs w:val="32"/>
          <w:highlight w:val="none"/>
          <w:u w:val="none"/>
          <w:lang w:val="en-US" w:eastAsia="zh-CN"/>
        </w:rPr>
        <w:t>每年</w:t>
      </w:r>
      <w:r>
        <w:rPr>
          <w:rFonts w:hint="default" w:ascii="Times New Roman" w:hAnsi="Times New Roman" w:eastAsia="仿宋_GB2312" w:cs="Times New Roman"/>
          <w:sz w:val="32"/>
          <w:szCs w:val="32"/>
          <w:highlight w:val="none"/>
          <w:u w:val="none"/>
          <w:lang w:val="en-US" w:eastAsia="zh-CN"/>
        </w:rPr>
        <w:t>评估遴选一批符合</w:t>
      </w:r>
      <w:r>
        <w:rPr>
          <w:rFonts w:hint="default" w:ascii="Times New Roman" w:hAnsi="Times New Roman" w:eastAsia="仿宋_GB2312" w:cs="Times New Roman"/>
          <w:sz w:val="32"/>
          <w:szCs w:val="32"/>
          <w:highlight w:val="none"/>
          <w:u w:val="none"/>
          <w:lang w:val="en-US" w:eastAsia="zh-CN"/>
        </w:rPr>
        <w:t>服务券</w:t>
      </w:r>
      <w:r>
        <w:rPr>
          <w:rFonts w:hint="default" w:ascii="Times New Roman" w:hAnsi="Times New Roman" w:eastAsia="仿宋_GB2312" w:cs="Times New Roman"/>
          <w:sz w:val="32"/>
          <w:szCs w:val="32"/>
          <w:highlight w:val="none"/>
          <w:u w:val="none"/>
          <w:lang w:val="en-US" w:eastAsia="zh-CN"/>
        </w:rPr>
        <w:t>配发要求的知识产权服务机构（下称“服务机构”），</w:t>
      </w:r>
      <w:r>
        <w:rPr>
          <w:rFonts w:hint="default" w:ascii="Times New Roman" w:hAnsi="Times New Roman" w:eastAsia="仿宋_GB2312" w:cs="Times New Roman"/>
          <w:sz w:val="32"/>
          <w:szCs w:val="32"/>
          <w:highlight w:val="none"/>
          <w:u w:val="none"/>
          <w:lang w:val="en-US" w:eastAsia="zh-CN"/>
        </w:rPr>
        <w:t>配发</w:t>
      </w:r>
      <w:r>
        <w:rPr>
          <w:rFonts w:hint="default" w:ascii="Times New Roman" w:hAnsi="Times New Roman" w:eastAsia="仿宋_GB2312" w:cs="Times New Roman"/>
          <w:sz w:val="32"/>
          <w:szCs w:val="32"/>
          <w:highlight w:val="none"/>
          <w:u w:val="none"/>
        </w:rPr>
        <w:t>服务券总额不超过1000万元，符合条件的企业可用服务券抵扣不超过30%的知识产权服务费用</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每家企业每年度最高使用10万元额度</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通过政府资金扶持，</w:t>
      </w:r>
      <w:r>
        <w:rPr>
          <w:rFonts w:hint="default" w:ascii="Times New Roman" w:hAnsi="Times New Roman" w:eastAsia="仿宋_GB2312" w:cs="Times New Roman"/>
          <w:sz w:val="32"/>
          <w:szCs w:val="32"/>
          <w:highlight w:val="none"/>
          <w:u w:val="none"/>
          <w:lang w:val="en-US" w:eastAsia="zh-CN"/>
        </w:rPr>
        <w:t>降低企业知识产权运营成本，以高质量知识产权服务业促进新质生产力加快形成。</w:t>
      </w:r>
    </w:p>
    <w:p w14:paraId="2C5E698D">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bCs/>
          <w:sz w:val="32"/>
          <w:szCs w:val="32"/>
          <w:highlight w:val="none"/>
          <w:u w:val="none"/>
          <w:lang w:val="en-US" w:eastAsia="zh-CN"/>
        </w:rPr>
        <w:t>二</w:t>
      </w:r>
      <w:r>
        <w:rPr>
          <w:rFonts w:hint="default" w:ascii="Times New Roman" w:hAnsi="Times New Roman" w:eastAsia="黑体" w:cs="Times New Roman"/>
          <w:bCs/>
          <w:sz w:val="32"/>
          <w:szCs w:val="32"/>
          <w:highlight w:val="none"/>
          <w:u w:val="none"/>
        </w:rPr>
        <w:t>、</w:t>
      </w:r>
      <w:r>
        <w:rPr>
          <w:rFonts w:hint="default" w:ascii="Times New Roman" w:hAnsi="Times New Roman" w:eastAsia="黑体" w:cs="Times New Roman"/>
          <w:bCs/>
          <w:sz w:val="32"/>
          <w:szCs w:val="32"/>
          <w:highlight w:val="none"/>
          <w:u w:val="none"/>
          <w:lang w:val="en-US" w:eastAsia="zh-CN"/>
        </w:rPr>
        <w:t>实施</w:t>
      </w:r>
      <w:r>
        <w:rPr>
          <w:rFonts w:hint="default" w:ascii="Times New Roman" w:hAnsi="Times New Roman" w:eastAsia="黑体" w:cs="Times New Roman"/>
          <w:bCs/>
          <w:sz w:val="32"/>
          <w:szCs w:val="32"/>
          <w:highlight w:val="none"/>
          <w:u w:val="none"/>
          <w:lang w:val="en-US" w:eastAsia="zh-CN"/>
        </w:rPr>
        <w:t>流程</w:t>
      </w:r>
    </w:p>
    <w:p w14:paraId="50356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服务券使用及监管分为机构</w:t>
      </w:r>
      <w:r>
        <w:rPr>
          <w:rFonts w:hint="default" w:ascii="Times New Roman" w:hAnsi="Times New Roman" w:eastAsia="仿宋_GB2312" w:cs="Times New Roman"/>
          <w:sz w:val="32"/>
          <w:szCs w:val="32"/>
          <w:highlight w:val="none"/>
          <w:u w:val="none"/>
        </w:rPr>
        <w:t>遴选</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发放实施</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流程</w:t>
      </w:r>
      <w:r>
        <w:rPr>
          <w:rFonts w:hint="default" w:ascii="Times New Roman" w:hAnsi="Times New Roman" w:eastAsia="仿宋_GB2312" w:cs="Times New Roman"/>
          <w:sz w:val="32"/>
          <w:szCs w:val="32"/>
          <w:highlight w:val="none"/>
          <w:u w:val="none"/>
        </w:rPr>
        <w:t>监管</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年度</w:t>
      </w:r>
      <w:r>
        <w:rPr>
          <w:rFonts w:hint="default" w:ascii="Times New Roman" w:hAnsi="Times New Roman" w:eastAsia="仿宋_GB2312" w:cs="Times New Roman"/>
          <w:sz w:val="32"/>
          <w:szCs w:val="32"/>
          <w:highlight w:val="none"/>
          <w:u w:val="none"/>
        </w:rPr>
        <w:t>考核</w:t>
      </w:r>
      <w:r>
        <w:rPr>
          <w:rFonts w:hint="default" w:ascii="Times New Roman" w:hAnsi="Times New Roman" w:eastAsia="仿宋_GB2312" w:cs="Times New Roman"/>
          <w:sz w:val="32"/>
          <w:szCs w:val="32"/>
          <w:highlight w:val="none"/>
          <w:u w:val="none"/>
          <w:lang w:val="en-US" w:eastAsia="zh-CN"/>
        </w:rPr>
        <w:t>及资金兑现</w:t>
      </w:r>
      <w:r>
        <w:rPr>
          <w:rFonts w:hint="default" w:ascii="Times New Roman" w:hAnsi="Times New Roman" w:eastAsia="仿宋_GB2312" w:cs="Times New Roman"/>
          <w:sz w:val="32"/>
          <w:szCs w:val="32"/>
          <w:highlight w:val="none"/>
          <w:u w:val="none"/>
          <w:lang w:val="en-US" w:eastAsia="zh-CN"/>
        </w:rPr>
        <w:t>五项流程</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由</w:t>
      </w:r>
      <w:r>
        <w:rPr>
          <w:rFonts w:hint="default" w:ascii="Times New Roman" w:hAnsi="Times New Roman" w:eastAsia="仿宋_GB2312" w:cs="Times New Roman"/>
          <w:sz w:val="32"/>
          <w:szCs w:val="32"/>
          <w:highlight w:val="none"/>
          <w:u w:val="none"/>
          <w:lang w:val="en-US" w:eastAsia="zh-CN"/>
        </w:rPr>
        <w:t>区知识产权局</w:t>
      </w:r>
      <w:r>
        <w:rPr>
          <w:rFonts w:hint="default" w:ascii="Times New Roman" w:hAnsi="Times New Roman" w:eastAsia="仿宋_GB2312" w:cs="Times New Roman"/>
          <w:sz w:val="32"/>
          <w:szCs w:val="32"/>
          <w:highlight w:val="none"/>
          <w:u w:val="none"/>
        </w:rPr>
        <w:t>发布</w:t>
      </w:r>
      <w:r>
        <w:rPr>
          <w:rFonts w:hint="default" w:ascii="Times New Roman" w:hAnsi="Times New Roman" w:eastAsia="仿宋_GB2312" w:cs="Times New Roman"/>
          <w:sz w:val="32"/>
          <w:szCs w:val="32"/>
          <w:highlight w:val="none"/>
          <w:u w:val="none"/>
          <w:lang w:val="en-US" w:eastAsia="zh-CN"/>
        </w:rPr>
        <w:t>遴选</w:t>
      </w:r>
      <w:r>
        <w:rPr>
          <w:rFonts w:hint="default" w:ascii="Times New Roman" w:hAnsi="Times New Roman" w:eastAsia="仿宋_GB2312" w:cs="Times New Roman"/>
          <w:sz w:val="32"/>
          <w:szCs w:val="32"/>
          <w:highlight w:val="none"/>
          <w:u w:val="none"/>
        </w:rPr>
        <w:t>通知</w:t>
      </w:r>
      <w:r>
        <w:rPr>
          <w:rFonts w:hint="default" w:ascii="Times New Roman" w:hAnsi="Times New Roman" w:eastAsia="仿宋_GB2312" w:cs="Times New Roman"/>
          <w:sz w:val="32"/>
          <w:szCs w:val="32"/>
          <w:highlight w:val="none"/>
          <w:u w:val="none"/>
          <w:lang w:val="en-US" w:eastAsia="zh-CN"/>
        </w:rPr>
        <w:t>并组织</w:t>
      </w:r>
      <w:r>
        <w:rPr>
          <w:rFonts w:hint="default" w:ascii="Times New Roman" w:hAnsi="Times New Roman" w:eastAsia="仿宋_GB2312" w:cs="Times New Roman"/>
          <w:sz w:val="32"/>
          <w:szCs w:val="32"/>
          <w:highlight w:val="none"/>
          <w:u w:val="none"/>
        </w:rPr>
        <w:t>符合条件的</w:t>
      </w:r>
      <w:r>
        <w:rPr>
          <w:rFonts w:hint="default" w:ascii="Times New Roman" w:hAnsi="Times New Roman" w:eastAsia="仿宋_GB2312" w:cs="Times New Roman"/>
          <w:sz w:val="32"/>
          <w:szCs w:val="32"/>
          <w:highlight w:val="none"/>
          <w:u w:val="none"/>
          <w:lang w:val="en-US" w:eastAsia="zh-CN"/>
        </w:rPr>
        <w:t>服务机构</w:t>
      </w:r>
      <w:r>
        <w:rPr>
          <w:rFonts w:hint="default" w:ascii="Times New Roman" w:hAnsi="Times New Roman" w:eastAsia="仿宋_GB2312" w:cs="Times New Roman"/>
          <w:sz w:val="32"/>
          <w:szCs w:val="32"/>
          <w:highlight w:val="none"/>
          <w:u w:val="none"/>
        </w:rPr>
        <w:t>进行申报</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经专家评审后，</w:t>
      </w:r>
      <w:r>
        <w:rPr>
          <w:rFonts w:hint="default" w:ascii="Times New Roman" w:hAnsi="Times New Roman" w:eastAsia="仿宋_GB2312" w:cs="Times New Roman"/>
          <w:sz w:val="32"/>
          <w:szCs w:val="32"/>
          <w:highlight w:val="none"/>
          <w:u w:val="none"/>
        </w:rPr>
        <w:t>遴选一批</w:t>
      </w:r>
      <w:r>
        <w:rPr>
          <w:rFonts w:hint="default" w:ascii="Times New Roman" w:hAnsi="Times New Roman" w:eastAsia="仿宋_GB2312" w:cs="Times New Roman"/>
          <w:sz w:val="32"/>
          <w:szCs w:val="32"/>
          <w:highlight w:val="none"/>
          <w:u w:val="none"/>
          <w:lang w:val="en-US" w:eastAsia="zh-CN"/>
        </w:rPr>
        <w:t>优质</w:t>
      </w:r>
      <w:r>
        <w:rPr>
          <w:rFonts w:hint="default" w:ascii="Times New Roman" w:hAnsi="Times New Roman" w:eastAsia="仿宋_GB2312" w:cs="Times New Roman"/>
          <w:sz w:val="32"/>
          <w:szCs w:val="32"/>
          <w:highlight w:val="none"/>
          <w:u w:val="none"/>
        </w:rPr>
        <w:t>服务机构并相应配发服务券额度</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服务机构根据配额向企业发放服务券并</w:t>
      </w:r>
      <w:r>
        <w:rPr>
          <w:rFonts w:hint="default" w:ascii="Times New Roman" w:hAnsi="Times New Roman" w:eastAsia="仿宋_GB2312" w:cs="Times New Roman"/>
          <w:sz w:val="32"/>
          <w:szCs w:val="32"/>
          <w:highlight w:val="none"/>
          <w:u w:val="none"/>
          <w:lang w:val="en-US" w:eastAsia="zh-CN"/>
        </w:rPr>
        <w:t>按照</w:t>
      </w:r>
      <w:r>
        <w:rPr>
          <w:rFonts w:hint="default" w:ascii="Times New Roman" w:hAnsi="Times New Roman" w:eastAsia="仿宋_GB2312" w:cs="Times New Roman"/>
          <w:sz w:val="32"/>
          <w:szCs w:val="32"/>
          <w:highlight w:val="none"/>
          <w:u w:val="none"/>
          <w:lang w:val="en-US" w:eastAsia="zh-CN"/>
        </w:rPr>
        <w:t>合同要求开展服务；服务券</w:t>
      </w:r>
      <w:r>
        <w:rPr>
          <w:rFonts w:hint="default" w:ascii="Times New Roman" w:hAnsi="Times New Roman" w:eastAsia="仿宋_GB2312" w:cs="Times New Roman"/>
          <w:sz w:val="32"/>
          <w:szCs w:val="32"/>
          <w:highlight w:val="none"/>
          <w:u w:val="none"/>
          <w:lang w:val="en-US" w:eastAsia="zh-CN"/>
        </w:rPr>
        <w:t>使用</w:t>
      </w:r>
      <w:r>
        <w:rPr>
          <w:rFonts w:hint="default" w:ascii="Times New Roman" w:hAnsi="Times New Roman" w:eastAsia="仿宋_GB2312" w:cs="Times New Roman"/>
          <w:sz w:val="32"/>
          <w:szCs w:val="32"/>
          <w:highlight w:val="none"/>
          <w:u w:val="none"/>
          <w:lang w:val="en-US" w:eastAsia="zh-CN"/>
        </w:rPr>
        <w:t>过程中，服务机构</w:t>
      </w:r>
      <w:r>
        <w:rPr>
          <w:rFonts w:hint="default" w:ascii="Times New Roman" w:hAnsi="Times New Roman" w:eastAsia="仿宋_GB2312" w:cs="Times New Roman"/>
          <w:sz w:val="32"/>
          <w:szCs w:val="32"/>
          <w:highlight w:val="none"/>
          <w:u w:val="none"/>
          <w:lang w:val="en-US" w:eastAsia="zh-CN"/>
        </w:rPr>
        <w:t>及时</w:t>
      </w:r>
      <w:r>
        <w:rPr>
          <w:rFonts w:hint="default" w:ascii="Times New Roman" w:hAnsi="Times New Roman" w:eastAsia="仿宋_GB2312" w:cs="Times New Roman"/>
          <w:sz w:val="32"/>
          <w:szCs w:val="32"/>
          <w:highlight w:val="none"/>
          <w:u w:val="none"/>
          <w:lang w:val="en-US" w:eastAsia="zh-CN"/>
        </w:rPr>
        <w:t>向区知识产权局报备用券情况，由</w:t>
      </w:r>
      <w:r>
        <w:rPr>
          <w:rFonts w:hint="default" w:ascii="Times New Roman" w:hAnsi="Times New Roman" w:eastAsia="仿宋_GB2312" w:cs="Times New Roman"/>
          <w:sz w:val="32"/>
          <w:szCs w:val="32"/>
          <w:highlight w:val="none"/>
          <w:u w:val="none"/>
        </w:rPr>
        <w:t>区知识产权局进行流程监管</w:t>
      </w:r>
      <w:r>
        <w:rPr>
          <w:rFonts w:hint="default" w:ascii="Times New Roman" w:hAnsi="Times New Roman" w:eastAsia="仿宋_GB2312" w:cs="Times New Roman"/>
          <w:sz w:val="32"/>
          <w:szCs w:val="32"/>
          <w:highlight w:val="none"/>
          <w:u w:val="none"/>
          <w:lang w:val="en-US" w:eastAsia="zh-CN"/>
        </w:rPr>
        <w:t>并开展</w:t>
      </w:r>
      <w:r>
        <w:rPr>
          <w:rFonts w:hint="default" w:ascii="Times New Roman" w:hAnsi="Times New Roman" w:eastAsia="仿宋_GB2312" w:cs="Times New Roman"/>
          <w:sz w:val="32"/>
          <w:szCs w:val="32"/>
          <w:highlight w:val="none"/>
          <w:u w:val="none"/>
          <w:lang w:val="en-US" w:eastAsia="zh-CN"/>
        </w:rPr>
        <w:t>中期检查</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服务券发放实施</w:t>
      </w:r>
      <w:r>
        <w:rPr>
          <w:rFonts w:hint="default" w:ascii="Times New Roman" w:hAnsi="Times New Roman" w:eastAsia="仿宋_GB2312" w:cs="Times New Roman"/>
          <w:sz w:val="32"/>
          <w:szCs w:val="32"/>
          <w:highlight w:val="none"/>
          <w:u w:val="none"/>
          <w:lang w:val="en-US" w:eastAsia="zh-CN"/>
        </w:rPr>
        <w:t>满一年，由区知识产权局</w:t>
      </w:r>
      <w:r>
        <w:rPr>
          <w:rFonts w:hint="default" w:ascii="Times New Roman" w:hAnsi="Times New Roman" w:eastAsia="仿宋_GB2312" w:cs="Times New Roman"/>
          <w:sz w:val="32"/>
          <w:szCs w:val="32"/>
          <w:highlight w:val="none"/>
          <w:u w:val="none"/>
        </w:rPr>
        <w:t>组织开展年度考核</w:t>
      </w:r>
      <w:r>
        <w:rPr>
          <w:rFonts w:hint="default" w:ascii="Times New Roman" w:hAnsi="Times New Roman" w:eastAsia="仿宋_GB2312" w:cs="Times New Roman"/>
          <w:sz w:val="32"/>
          <w:szCs w:val="32"/>
          <w:highlight w:val="none"/>
          <w:u w:val="none"/>
          <w:lang w:val="en-US" w:eastAsia="zh-CN"/>
        </w:rPr>
        <w:t>并公示考核结果；服务机构根据政策兑现流程向区知识产权局提交兑现申请，区知识产权局按要求予以兑现。</w:t>
      </w:r>
    </w:p>
    <w:p w14:paraId="01DED6A6">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（一）机构遴选</w:t>
      </w:r>
    </w:p>
    <w:p w14:paraId="692C8E9F">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1.申报</w:t>
      </w:r>
    </w:p>
    <w:p w14:paraId="0E321687">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由区知识产权局发布申报通知</w:t>
      </w:r>
      <w:r>
        <w:rPr>
          <w:rFonts w:hint="default" w:ascii="Times New Roman" w:hAnsi="Times New Roman" w:eastAsia="仿宋_GB2312" w:cs="Times New Roman"/>
          <w:sz w:val="32"/>
          <w:szCs w:val="32"/>
          <w:highlight w:val="none"/>
          <w:u w:val="none"/>
          <w:lang w:val="en-US" w:eastAsia="zh-CN"/>
        </w:rPr>
        <w:t>，组织在我区从事经营活动的优质服务机构</w:t>
      </w:r>
      <w:r>
        <w:rPr>
          <w:rFonts w:hint="default" w:ascii="Times New Roman" w:hAnsi="Times New Roman" w:eastAsia="仿宋_GB2312" w:cs="Times New Roman"/>
          <w:sz w:val="32"/>
          <w:szCs w:val="32"/>
          <w:highlight w:val="none"/>
          <w:u w:val="none"/>
        </w:rPr>
        <w:t>自主申报</w:t>
      </w:r>
      <w:r>
        <w:rPr>
          <w:rFonts w:hint="default" w:ascii="Times New Roman" w:hAnsi="Times New Roman" w:eastAsia="仿宋_GB2312" w:cs="Times New Roman"/>
          <w:sz w:val="32"/>
          <w:szCs w:val="32"/>
          <w:highlight w:val="none"/>
          <w:u w:val="none"/>
          <w:lang w:val="en-US" w:eastAsia="zh-CN"/>
        </w:rPr>
        <w:t>。</w:t>
      </w:r>
    </w:p>
    <w:p w14:paraId="7AD6ED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（1）</w:t>
      </w:r>
      <w:r>
        <w:rPr>
          <w:rFonts w:hint="default" w:ascii="Times New Roman" w:hAnsi="Times New Roman" w:eastAsia="仿宋_GB2312" w:cs="Times New Roman"/>
          <w:sz w:val="32"/>
          <w:szCs w:val="32"/>
          <w:highlight w:val="none"/>
          <w:u w:val="none"/>
          <w:lang w:val="en-US" w:eastAsia="zh-CN"/>
        </w:rPr>
        <w:t>申报条件</w:t>
      </w:r>
    </w:p>
    <w:p w14:paraId="4FC673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u w:val="none"/>
          <w:lang w:eastAsia="zh-CN"/>
        </w:rPr>
      </w:pPr>
      <w:r>
        <w:rPr>
          <w:rFonts w:hint="default" w:ascii="Times New Roman" w:hAnsi="Times New Roman" w:eastAsia="仿宋_GB2312" w:cs="Times New Roman"/>
          <w:sz w:val="32"/>
          <w:highlight w:val="none"/>
          <w:u w:val="none"/>
          <w:lang w:val="en-US" w:eastAsia="zh-CN"/>
        </w:rPr>
        <w:t>一是</w:t>
      </w:r>
      <w:r>
        <w:rPr>
          <w:rFonts w:hint="default" w:ascii="Times New Roman" w:hAnsi="Times New Roman" w:eastAsia="仿宋_GB2312" w:cs="Times New Roman"/>
          <w:sz w:val="32"/>
          <w:highlight w:val="none"/>
          <w:u w:val="none"/>
        </w:rPr>
        <w:t>在广州开发区、广州市黄埔区及其受托管理和下辖园区（以下简称“本区”）范围内，依法诚信从事生产经营活动，实行独立核算，符合国家统计规范、税收征管、信用管理等规定的</w:t>
      </w:r>
      <w:r>
        <w:rPr>
          <w:rFonts w:hint="default" w:ascii="Times New Roman" w:hAnsi="Times New Roman" w:eastAsia="仿宋_GB2312" w:cs="Times New Roman"/>
          <w:sz w:val="32"/>
          <w:highlight w:val="none"/>
          <w:u w:val="none"/>
          <w:lang w:val="en-US" w:eastAsia="zh-CN"/>
        </w:rPr>
        <w:t>及知识产权服务为主营业务的</w:t>
      </w:r>
      <w:r>
        <w:rPr>
          <w:rFonts w:hint="default" w:ascii="Times New Roman" w:hAnsi="Times New Roman" w:eastAsia="仿宋_GB2312" w:cs="Times New Roman"/>
          <w:sz w:val="32"/>
          <w:highlight w:val="none"/>
          <w:u w:val="none"/>
        </w:rPr>
        <w:t>生产性服务业企业</w:t>
      </w:r>
      <w:r>
        <w:rPr>
          <w:rFonts w:hint="default" w:ascii="Times New Roman" w:hAnsi="Times New Roman" w:eastAsia="仿宋_GB2312" w:cs="Times New Roman"/>
          <w:sz w:val="32"/>
          <w:highlight w:val="none"/>
          <w:u w:val="none"/>
          <w:lang w:eastAsia="zh-CN"/>
        </w:rPr>
        <w:t>。</w:t>
      </w:r>
    </w:p>
    <w:p w14:paraId="2775E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二是</w:t>
      </w:r>
      <w:r>
        <w:rPr>
          <w:rFonts w:hint="default" w:ascii="Times New Roman" w:hAnsi="Times New Roman" w:eastAsia="仿宋_GB2312" w:cs="Times New Roman"/>
          <w:sz w:val="32"/>
          <w:szCs w:val="32"/>
          <w:highlight w:val="none"/>
          <w:u w:val="none"/>
          <w:lang w:val="en-US" w:eastAsia="zh-CN"/>
        </w:rPr>
        <w:t>有稳定的知识产权专业服务人才队伍和服务对象。</w:t>
      </w:r>
    </w:p>
    <w:p w14:paraId="52B84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三是</w:t>
      </w:r>
      <w:r>
        <w:rPr>
          <w:rFonts w:hint="default" w:ascii="Times New Roman" w:hAnsi="Times New Roman" w:eastAsia="仿宋_GB2312" w:cs="Times New Roman"/>
          <w:sz w:val="32"/>
          <w:szCs w:val="32"/>
          <w:highlight w:val="none"/>
          <w:u w:val="none"/>
          <w:lang w:val="en-US" w:eastAsia="zh-CN"/>
        </w:rPr>
        <w:t>财务状况良好，具备提供服务必要的服务设施、办公设备等。</w:t>
      </w:r>
    </w:p>
    <w:p w14:paraId="2833B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highlight w:val="none"/>
          <w:u w:val="none"/>
          <w:lang w:val="en-US" w:eastAsia="zh-CN"/>
        </w:rPr>
        <w:t>四是</w:t>
      </w:r>
      <w:r>
        <w:rPr>
          <w:rFonts w:hint="default" w:ascii="Times New Roman" w:hAnsi="Times New Roman" w:eastAsia="仿宋_GB2312" w:cs="Times New Roman"/>
          <w:sz w:val="32"/>
          <w:szCs w:val="32"/>
          <w:highlight w:val="none"/>
          <w:u w:val="none"/>
          <w:lang w:val="en-US" w:eastAsia="zh-CN"/>
        </w:rPr>
        <w:t>服务机构不得与其关联公司同时申报。</w:t>
      </w:r>
    </w:p>
    <w:p w14:paraId="6BE036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五是</w:t>
      </w:r>
      <w:r>
        <w:rPr>
          <w:rFonts w:hint="default" w:ascii="Times New Roman" w:hAnsi="Times New Roman" w:eastAsia="仿宋_GB2312" w:cs="Times New Roman"/>
          <w:sz w:val="32"/>
          <w:szCs w:val="32"/>
          <w:highlight w:val="none"/>
          <w:u w:val="none"/>
          <w:lang w:val="en-US" w:eastAsia="zh-CN"/>
        </w:rPr>
        <w:t>服务机构及其关联单位未被国家知识产权公共服务平台纳入经营异常名录、严重违法失信名单和风险名单，未被国家企业信用信息公示系统纳入经营异常名录和严重违法失信名单，未被广东省知识产权保护中心、广州市知识产权保护中心纳入限制服务名单。</w:t>
      </w:r>
    </w:p>
    <w:p w14:paraId="55299348">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申报材料</w:t>
      </w:r>
    </w:p>
    <w:p w14:paraId="14BBF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highlight w:val="none"/>
          <w:u w:val="none"/>
          <w:lang w:val="en-US" w:eastAsia="zh-CN"/>
        </w:rPr>
        <w:t>一是填写</w:t>
      </w:r>
      <w:r>
        <w:rPr>
          <w:rFonts w:hint="default" w:ascii="Times New Roman" w:hAnsi="Times New Roman" w:eastAsia="仿宋_GB2312" w:cs="Times New Roman"/>
          <w:sz w:val="32"/>
          <w:szCs w:val="32"/>
          <w:highlight w:val="none"/>
          <w:u w:val="none"/>
          <w:lang w:val="en-US" w:eastAsia="zh-CN"/>
        </w:rPr>
        <w:t>《知识产权服务</w:t>
      </w:r>
      <w:r>
        <w:rPr>
          <w:rFonts w:hint="default" w:ascii="Times New Roman" w:hAnsi="Times New Roman" w:eastAsia="仿宋_GB2312" w:cs="Times New Roman"/>
          <w:sz w:val="32"/>
          <w:szCs w:val="32"/>
          <w:highlight w:val="none"/>
          <w:u w:val="none"/>
          <w:lang w:val="en-US" w:eastAsia="zh-CN"/>
        </w:rPr>
        <w:t>券申领</w:t>
      </w:r>
      <w:r>
        <w:rPr>
          <w:rFonts w:hint="default" w:ascii="Times New Roman" w:hAnsi="Times New Roman" w:eastAsia="仿宋_GB2312" w:cs="Times New Roman"/>
          <w:sz w:val="32"/>
          <w:szCs w:val="32"/>
          <w:highlight w:val="none"/>
          <w:u w:val="none"/>
          <w:lang w:val="en-US" w:eastAsia="zh-CN"/>
        </w:rPr>
        <w:t>机构申报书》（附件1）。</w:t>
      </w:r>
    </w:p>
    <w:p w14:paraId="2A8AA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highlight w:val="none"/>
          <w:u w:val="none"/>
          <w:lang w:val="en-US" w:eastAsia="zh-CN"/>
        </w:rPr>
        <w:t>二是提供</w:t>
      </w:r>
      <w:r>
        <w:rPr>
          <w:rFonts w:hint="default" w:ascii="Times New Roman" w:hAnsi="Times New Roman" w:eastAsia="仿宋_GB2312" w:cs="Times New Roman"/>
          <w:sz w:val="32"/>
          <w:szCs w:val="32"/>
          <w:highlight w:val="none"/>
          <w:u w:val="none"/>
          <w:lang w:val="en-US" w:eastAsia="zh-CN"/>
        </w:rPr>
        <w:t>服务机构主体资格（如营业执照复印件）、相关资质证明材料。</w:t>
      </w:r>
    </w:p>
    <w:p w14:paraId="55C531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highlight w:val="none"/>
          <w:u w:val="none"/>
          <w:lang w:val="en-US" w:eastAsia="zh-CN"/>
        </w:rPr>
        <w:t>三是提供</w:t>
      </w:r>
      <w:r>
        <w:rPr>
          <w:rFonts w:hint="default" w:ascii="Times New Roman" w:hAnsi="Times New Roman" w:eastAsia="仿宋_GB2312" w:cs="Times New Roman"/>
          <w:sz w:val="32"/>
          <w:szCs w:val="32"/>
          <w:highlight w:val="none"/>
          <w:u w:val="none"/>
          <w:lang w:val="en-US" w:eastAsia="zh-CN"/>
        </w:rPr>
        <w:t>人员资质证明相关材料。</w:t>
      </w:r>
    </w:p>
    <w:p w14:paraId="3AD49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四是提供</w:t>
      </w:r>
      <w:r>
        <w:rPr>
          <w:rFonts w:hint="default" w:ascii="Times New Roman" w:hAnsi="Times New Roman" w:eastAsia="仿宋_GB2312" w:cs="Times New Roman"/>
          <w:sz w:val="32"/>
          <w:szCs w:val="32"/>
          <w:highlight w:val="none"/>
          <w:u w:val="none"/>
          <w:lang w:val="en-US" w:eastAsia="zh-CN"/>
        </w:rPr>
        <w:t>近一年企业财务状况证明材料。</w:t>
      </w:r>
    </w:p>
    <w:p w14:paraId="21930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sz w:val="32"/>
          <w:highlight w:val="none"/>
          <w:u w:val="none"/>
          <w:lang w:val="en-US" w:eastAsia="zh-CN"/>
        </w:rPr>
        <w:t>五是提供</w:t>
      </w:r>
      <w:r>
        <w:rPr>
          <w:rFonts w:hint="default" w:ascii="Times New Roman" w:hAnsi="Times New Roman" w:eastAsia="仿宋_GB2312" w:cs="Times New Roman"/>
          <w:sz w:val="32"/>
          <w:szCs w:val="32"/>
          <w:highlight w:val="none"/>
          <w:u w:val="none"/>
          <w:lang w:val="en-US" w:eastAsia="zh-CN"/>
        </w:rPr>
        <w:t>其它相关证明材料。</w:t>
      </w:r>
    </w:p>
    <w:p w14:paraId="75D68DA7">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专家评审</w:t>
      </w:r>
      <w:r>
        <w:rPr>
          <w:rFonts w:hint="default" w:ascii="Times New Roman" w:hAnsi="Times New Roman" w:eastAsia="仿宋_GB2312" w:cs="Times New Roman"/>
          <w:sz w:val="32"/>
          <w:szCs w:val="32"/>
          <w:highlight w:val="none"/>
          <w:u w:val="none"/>
          <w:lang w:val="en-US" w:eastAsia="zh-CN"/>
        </w:rPr>
        <w:t>及配额</w:t>
      </w:r>
    </w:p>
    <w:p w14:paraId="67431C0E">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由区知识产权局委托第三方机构组织专家组</w:t>
      </w:r>
      <w:r>
        <w:rPr>
          <w:rFonts w:hint="default" w:ascii="Times New Roman" w:hAnsi="Times New Roman" w:eastAsia="仿宋_GB2312" w:cs="Times New Roman"/>
          <w:sz w:val="32"/>
          <w:szCs w:val="32"/>
          <w:highlight w:val="none"/>
          <w:u w:val="none"/>
          <w:lang w:val="en-US" w:eastAsia="zh-CN"/>
        </w:rPr>
        <w:t>根据</w:t>
      </w:r>
      <w:r>
        <w:rPr>
          <w:rFonts w:hint="default" w:ascii="Times New Roman" w:hAnsi="Times New Roman" w:eastAsia="仿宋_GB2312" w:cs="Times New Roman"/>
          <w:sz w:val="32"/>
          <w:szCs w:val="32"/>
          <w:highlight w:val="none"/>
          <w:u w:val="none"/>
        </w:rPr>
        <w:t>《广州开发区 广州市黄埔区知识产权服务</w:t>
      </w:r>
      <w:r>
        <w:rPr>
          <w:rFonts w:hint="default" w:ascii="Times New Roman" w:hAnsi="Times New Roman" w:eastAsia="仿宋_GB2312" w:cs="Times New Roman"/>
          <w:sz w:val="32"/>
          <w:szCs w:val="32"/>
          <w:highlight w:val="none"/>
          <w:u w:val="none"/>
          <w:lang w:val="en-US" w:eastAsia="zh-CN"/>
        </w:rPr>
        <w:t>券申领</w:t>
      </w:r>
      <w:r>
        <w:rPr>
          <w:rFonts w:hint="default" w:ascii="Times New Roman" w:hAnsi="Times New Roman" w:eastAsia="仿宋_GB2312" w:cs="Times New Roman"/>
          <w:sz w:val="32"/>
          <w:szCs w:val="32"/>
          <w:highlight w:val="none"/>
          <w:u w:val="none"/>
        </w:rPr>
        <w:t>机构遴选</w:t>
      </w:r>
      <w:r>
        <w:rPr>
          <w:rFonts w:hint="default" w:ascii="Times New Roman" w:hAnsi="Times New Roman" w:eastAsia="仿宋_GB2312" w:cs="Times New Roman"/>
          <w:sz w:val="32"/>
          <w:szCs w:val="32"/>
          <w:highlight w:val="none"/>
          <w:u w:val="none"/>
          <w:lang w:val="en-US" w:eastAsia="zh-CN"/>
        </w:rPr>
        <w:t>指标</w:t>
      </w:r>
      <w:r>
        <w:rPr>
          <w:rFonts w:hint="default" w:ascii="Times New Roman" w:hAnsi="Times New Roman" w:eastAsia="仿宋_GB2312" w:cs="Times New Roman"/>
          <w:sz w:val="32"/>
          <w:szCs w:val="32"/>
          <w:highlight w:val="none"/>
          <w:u w:val="none"/>
        </w:rPr>
        <w:t>》（附件2）</w:t>
      </w:r>
      <w:r>
        <w:rPr>
          <w:rFonts w:hint="default" w:ascii="Times New Roman" w:hAnsi="Times New Roman" w:eastAsia="仿宋_GB2312" w:cs="Times New Roman"/>
          <w:sz w:val="32"/>
          <w:szCs w:val="32"/>
          <w:highlight w:val="none"/>
          <w:u w:val="none"/>
          <w:lang w:val="en-US" w:eastAsia="zh-CN"/>
        </w:rPr>
        <w:t>进行评审</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共</w:t>
      </w:r>
      <w:r>
        <w:rPr>
          <w:rFonts w:hint="default" w:ascii="Times New Roman" w:hAnsi="Times New Roman" w:eastAsia="仿宋_GB2312" w:cs="Times New Roman"/>
          <w:sz w:val="32"/>
          <w:szCs w:val="32"/>
          <w:highlight w:val="none"/>
          <w:u w:val="none"/>
        </w:rPr>
        <w:t>设置200万、100万、50万及30万四种配额等级，</w:t>
      </w:r>
      <w:r>
        <w:rPr>
          <w:rFonts w:hint="default" w:ascii="Times New Roman" w:hAnsi="Times New Roman" w:eastAsia="仿宋_GB2312" w:cs="Times New Roman"/>
          <w:sz w:val="32"/>
          <w:szCs w:val="32"/>
          <w:highlight w:val="none"/>
          <w:u w:val="none"/>
          <w:lang w:val="en-US" w:eastAsia="zh-CN"/>
        </w:rPr>
        <w:t>区知识产权局以专家评审建议为基础，统筹考虑服务机构申报额度，按照就低核定的原则确定最终配额。</w:t>
      </w:r>
    </w:p>
    <w:p w14:paraId="127E5D8E">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公示</w:t>
      </w:r>
      <w:r>
        <w:rPr>
          <w:rFonts w:hint="default" w:ascii="Times New Roman" w:hAnsi="Times New Roman" w:eastAsia="仿宋_GB2312" w:cs="Times New Roman"/>
          <w:sz w:val="32"/>
          <w:szCs w:val="32"/>
          <w:highlight w:val="none"/>
          <w:u w:val="none"/>
          <w:lang w:val="en-US" w:eastAsia="zh-CN"/>
        </w:rPr>
        <w:t>及异议</w:t>
      </w:r>
    </w:p>
    <w:p w14:paraId="51B2E7F4">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经</w:t>
      </w:r>
      <w:r>
        <w:rPr>
          <w:rFonts w:hint="default" w:ascii="Times New Roman" w:hAnsi="Times New Roman" w:eastAsia="仿宋_GB2312" w:cs="Times New Roman"/>
          <w:sz w:val="32"/>
          <w:szCs w:val="32"/>
          <w:highlight w:val="none"/>
          <w:u w:val="none"/>
          <w:lang w:val="en-US" w:eastAsia="zh-CN"/>
        </w:rPr>
        <w:t>专家评审通过</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val="en-US" w:eastAsia="zh-CN"/>
        </w:rPr>
        <w:t>服务机构</w:t>
      </w:r>
      <w:r>
        <w:rPr>
          <w:rFonts w:hint="default" w:ascii="Times New Roman" w:hAnsi="Times New Roman" w:eastAsia="仿宋_GB2312" w:cs="Times New Roman"/>
          <w:sz w:val="32"/>
          <w:szCs w:val="32"/>
          <w:highlight w:val="none"/>
          <w:u w:val="none"/>
        </w:rPr>
        <w:t>名单</w:t>
      </w:r>
      <w:r>
        <w:rPr>
          <w:rFonts w:hint="default" w:ascii="Times New Roman" w:hAnsi="Times New Roman" w:eastAsia="仿宋_GB2312" w:cs="Times New Roman"/>
          <w:sz w:val="32"/>
          <w:szCs w:val="32"/>
          <w:highlight w:val="none"/>
          <w:u w:val="none"/>
          <w:lang w:val="en-US" w:eastAsia="zh-CN"/>
        </w:rPr>
        <w:t>及其配额</w:t>
      </w:r>
      <w:r>
        <w:rPr>
          <w:rFonts w:hint="default" w:ascii="Times New Roman" w:hAnsi="Times New Roman" w:eastAsia="仿宋_GB2312" w:cs="Times New Roman"/>
          <w:sz w:val="32"/>
          <w:szCs w:val="32"/>
          <w:highlight w:val="none"/>
          <w:u w:val="none"/>
        </w:rPr>
        <w:t>，在区知识产权局政务网站上公示5个工作日。公示期满无异议的，</w:t>
      </w:r>
      <w:r>
        <w:rPr>
          <w:rFonts w:hint="default" w:ascii="Times New Roman" w:hAnsi="Times New Roman" w:eastAsia="仿宋_GB2312" w:cs="Times New Roman"/>
          <w:sz w:val="32"/>
          <w:szCs w:val="32"/>
          <w:highlight w:val="none"/>
          <w:u w:val="none"/>
          <w:lang w:val="en-US" w:eastAsia="zh-CN"/>
        </w:rPr>
        <w:t>由</w:t>
      </w:r>
      <w:r>
        <w:rPr>
          <w:rFonts w:hint="default" w:ascii="Times New Roman" w:hAnsi="Times New Roman" w:eastAsia="仿宋_GB2312" w:cs="Times New Roman"/>
          <w:sz w:val="32"/>
          <w:szCs w:val="32"/>
          <w:highlight w:val="none"/>
          <w:u w:val="none"/>
        </w:rPr>
        <w:t>区知识产权局</w:t>
      </w:r>
      <w:r>
        <w:rPr>
          <w:rFonts w:hint="default" w:ascii="Times New Roman" w:hAnsi="Times New Roman" w:eastAsia="仿宋_GB2312" w:cs="Times New Roman"/>
          <w:sz w:val="32"/>
          <w:szCs w:val="32"/>
          <w:highlight w:val="none"/>
          <w:u w:val="none"/>
          <w:lang w:val="en-US" w:eastAsia="zh-CN"/>
        </w:rPr>
        <w:t>正式对外公布</w:t>
      </w:r>
      <w:r>
        <w:rPr>
          <w:rFonts w:hint="default" w:ascii="Times New Roman" w:hAnsi="Times New Roman" w:eastAsia="仿宋_GB2312" w:cs="Times New Roman"/>
          <w:sz w:val="32"/>
          <w:szCs w:val="32"/>
          <w:highlight w:val="none"/>
          <w:u w:val="none"/>
        </w:rPr>
        <w:t>。存在异议的，</w:t>
      </w:r>
      <w:r>
        <w:rPr>
          <w:rFonts w:hint="default" w:ascii="Times New Roman" w:hAnsi="Times New Roman" w:eastAsia="仿宋_GB2312" w:cs="Times New Roman"/>
          <w:sz w:val="32"/>
          <w:szCs w:val="32"/>
          <w:highlight w:val="none"/>
          <w:u w:val="none"/>
          <w:lang w:val="en-US" w:eastAsia="zh-CN"/>
        </w:rPr>
        <w:t>由</w:t>
      </w:r>
      <w:r>
        <w:rPr>
          <w:rFonts w:hint="default" w:ascii="Times New Roman" w:hAnsi="Times New Roman" w:eastAsia="仿宋_GB2312" w:cs="Times New Roman"/>
          <w:sz w:val="32"/>
          <w:szCs w:val="32"/>
          <w:highlight w:val="none"/>
          <w:u w:val="none"/>
        </w:rPr>
        <w:t>第三方专业机构对相关情况进行调查核实</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经核实异议理由成立的，</w:t>
      </w:r>
      <w:r>
        <w:rPr>
          <w:rFonts w:hint="default" w:ascii="Times New Roman" w:hAnsi="Times New Roman" w:eastAsia="仿宋_GB2312" w:cs="Times New Roman"/>
          <w:sz w:val="32"/>
          <w:szCs w:val="32"/>
          <w:highlight w:val="none"/>
          <w:u w:val="none"/>
          <w:lang w:val="en-US" w:eastAsia="zh-CN"/>
        </w:rPr>
        <w:t>则</w:t>
      </w:r>
      <w:r>
        <w:rPr>
          <w:rFonts w:hint="default" w:ascii="Times New Roman" w:hAnsi="Times New Roman" w:eastAsia="仿宋_GB2312" w:cs="Times New Roman"/>
          <w:sz w:val="32"/>
          <w:szCs w:val="32"/>
          <w:highlight w:val="none"/>
          <w:u w:val="none"/>
        </w:rPr>
        <w:t>不予</w:t>
      </w:r>
      <w:r>
        <w:rPr>
          <w:rFonts w:hint="default" w:ascii="Times New Roman" w:hAnsi="Times New Roman" w:eastAsia="仿宋_GB2312" w:cs="Times New Roman"/>
          <w:sz w:val="32"/>
          <w:szCs w:val="32"/>
          <w:highlight w:val="none"/>
          <w:u w:val="none"/>
          <w:lang w:val="en-US" w:eastAsia="zh-CN"/>
        </w:rPr>
        <w:t>遴选及配额</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异议理由不成立的，按照政策规定执行。</w:t>
      </w:r>
    </w:p>
    <w:p w14:paraId="1847FAD2">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发放实施</w:t>
      </w:r>
    </w:p>
    <w:p w14:paraId="438F61D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shd w:val="clear" w:color="auto" w:fill="auto"/>
          <w:lang w:bidi="ar"/>
        </w:rPr>
      </w:pPr>
      <w:r>
        <w:rPr>
          <w:rFonts w:hint="default" w:ascii="Times New Roman" w:hAnsi="Times New Roman" w:eastAsia="仿宋_GB2312" w:cs="Times New Roman"/>
          <w:sz w:val="32"/>
          <w:szCs w:val="32"/>
          <w:highlight w:val="none"/>
          <w:u w:val="none"/>
          <w:shd w:val="clear" w:color="auto" w:fill="auto"/>
          <w:lang w:bidi="ar"/>
        </w:rPr>
        <w:t>由经过遴选的优质服务机构与符合条件的企业双方自主选择合作，签订合同开展服务</w:t>
      </w:r>
      <w:r>
        <w:rPr>
          <w:rFonts w:hint="default" w:ascii="Times New Roman" w:hAnsi="Times New Roman" w:eastAsia="仿宋_GB2312" w:cs="Times New Roman"/>
          <w:sz w:val="32"/>
          <w:szCs w:val="32"/>
          <w:highlight w:val="none"/>
          <w:u w:val="none"/>
          <w:shd w:val="clear" w:color="auto" w:fill="auto"/>
          <w:lang w:eastAsia="zh-CN" w:bidi="ar"/>
        </w:rPr>
        <w:t>，</w:t>
      </w:r>
      <w:r>
        <w:rPr>
          <w:rFonts w:hint="default" w:ascii="Times New Roman" w:hAnsi="Times New Roman" w:eastAsia="仿宋_GB2312" w:cs="Times New Roman"/>
          <w:sz w:val="32"/>
          <w:szCs w:val="32"/>
          <w:highlight w:val="none"/>
          <w:u w:val="none"/>
          <w:shd w:val="clear" w:color="auto" w:fill="auto"/>
          <w:lang w:bidi="ar"/>
        </w:rPr>
        <w:t>服务机构根据配额向企业发放服务券</w:t>
      </w:r>
      <w:r>
        <w:rPr>
          <w:rFonts w:hint="default" w:ascii="Times New Roman" w:hAnsi="Times New Roman" w:eastAsia="仿宋_GB2312" w:cs="Times New Roman"/>
          <w:i w:val="0"/>
          <w:iCs w:val="0"/>
          <w:caps w:val="0"/>
          <w:spacing w:val="0"/>
          <w:kern w:val="2"/>
          <w:sz w:val="32"/>
          <w:szCs w:val="32"/>
          <w:highlight w:val="none"/>
          <w:u w:val="none"/>
          <w:shd w:val="clear" w:color="auto" w:fill="auto"/>
          <w:lang w:val="en-US" w:eastAsia="zh-CN" w:bidi="ar"/>
        </w:rPr>
        <w:t>。</w:t>
      </w:r>
      <w:r>
        <w:rPr>
          <w:rFonts w:hint="default" w:ascii="Times New Roman" w:hAnsi="Times New Roman" w:eastAsia="仿宋_GB2312" w:cs="Times New Roman"/>
          <w:sz w:val="32"/>
          <w:szCs w:val="32"/>
          <w:highlight w:val="none"/>
          <w:u w:val="none"/>
          <w:shd w:val="clear" w:color="auto" w:fill="auto"/>
          <w:lang w:val="en-US" w:eastAsia="zh-CN" w:bidi="ar"/>
        </w:rPr>
        <w:t>符合条件的企业可用服务券</w:t>
      </w:r>
      <w:r>
        <w:rPr>
          <w:rFonts w:hint="default" w:ascii="Times New Roman" w:hAnsi="Times New Roman" w:eastAsia="仿宋_GB2312" w:cs="Times New Roman"/>
          <w:sz w:val="32"/>
          <w:szCs w:val="32"/>
          <w:highlight w:val="none"/>
          <w:u w:val="none"/>
          <w:shd w:val="clear" w:color="auto" w:fill="auto"/>
          <w:lang w:bidi="ar"/>
        </w:rPr>
        <w:t>抵扣不超过30%的知识产权服务费用，每家企业每年度最高使用10万元额度。</w:t>
      </w:r>
    </w:p>
    <w:p w14:paraId="126E89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适用企业范围</w:t>
      </w:r>
    </w:p>
    <w:p w14:paraId="7AD4FD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（1）</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经认定的高新技术企业或创新型中小企业、专精特新中小企业、专精特新“小巨人”企业</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w:t>
      </w:r>
    </w:p>
    <w:p w14:paraId="61DB5A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进入国家科技型中小企业库、广东省高新技术企业培育库、广州市科技创新小巨人企业库的企业</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 xml:space="preserve"> </w:t>
      </w:r>
    </w:p>
    <w:p w14:paraId="27F3CD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近5年获得市级以上科技或知识产权主管部门项目立项的企业</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 xml:space="preserve"> </w:t>
      </w:r>
    </w:p>
    <w:p w14:paraId="663C31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（4）</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经政府部门认定为各层次人才创办的企业</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 xml:space="preserve"> </w:t>
      </w:r>
    </w:p>
    <w:p w14:paraId="0E9F67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（5）</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其它经区科技主管部门、工信部门认定为科技类型的企业。</w:t>
      </w:r>
    </w:p>
    <w:p w14:paraId="7076F0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（6）</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其它经</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政府部门认定的需要知识产权服务的企业。</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 xml:space="preserve"> </w:t>
      </w:r>
    </w:p>
    <w:p w14:paraId="62EB84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适用服务内容</w:t>
      </w:r>
    </w:p>
    <w:p w14:paraId="6B1E23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bidi="ar"/>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适用</w:t>
      </w:r>
      <w:r>
        <w:rPr>
          <w:rFonts w:hint="default" w:ascii="Times New Roman" w:hAnsi="Times New Roman" w:eastAsia="仿宋_GB2312" w:cs="Times New Roman"/>
          <w:color w:val="auto"/>
          <w:kern w:val="0"/>
          <w:sz w:val="32"/>
          <w:szCs w:val="32"/>
          <w:highlight w:val="none"/>
          <w:u w:val="none"/>
          <w:shd w:val="clear" w:color="auto" w:fill="FFFFFF"/>
          <w:lang w:bidi="ar"/>
        </w:rPr>
        <w:t>国家知识产权局等 17 部门联合印发的《关于加快推动知识产权服务业高质量发展的意见》</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国知发运字〔2022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shd w:val="clear" w:color="auto" w:fill="FFFFFF"/>
          <w:lang w:bidi="ar"/>
        </w:rPr>
        <w:t>47号</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中涉及的</w:t>
      </w:r>
      <w:r>
        <w:rPr>
          <w:rFonts w:hint="default" w:ascii="Times New Roman" w:hAnsi="Times New Roman" w:eastAsia="仿宋_GB2312" w:cs="Times New Roman"/>
          <w:color w:val="auto"/>
          <w:kern w:val="0"/>
          <w:sz w:val="32"/>
          <w:szCs w:val="32"/>
          <w:highlight w:val="none"/>
          <w:u w:val="none"/>
          <w:shd w:val="clear" w:color="auto" w:fill="FFFFFF"/>
          <w:lang w:bidi="ar"/>
        </w:rPr>
        <w:t>知识产权服务业务范围</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包括</w:t>
      </w:r>
      <w:r>
        <w:rPr>
          <w:rFonts w:hint="default" w:ascii="Times New Roman" w:hAnsi="Times New Roman" w:eastAsia="仿宋_GB2312" w:cs="Times New Roman"/>
          <w:color w:val="auto"/>
          <w:kern w:val="0"/>
          <w:sz w:val="32"/>
          <w:szCs w:val="32"/>
          <w:highlight w:val="none"/>
          <w:u w:val="none"/>
          <w:shd w:val="clear" w:color="auto" w:fill="FFFFFF"/>
          <w:lang w:bidi="ar"/>
        </w:rPr>
        <w:t>开展技术方案专利查新检索、专利导航、专利转化、知识产权预警分析、知识产权评估、知识产权运营、商业秘密</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风险评估、商业秘密保护制度建设、</w:t>
      </w:r>
      <w:r>
        <w:rPr>
          <w:rFonts w:hint="default" w:ascii="Times New Roman" w:hAnsi="Times New Roman" w:eastAsia="仿宋_GB2312" w:cs="Times New Roman"/>
          <w:color w:val="auto"/>
          <w:kern w:val="0"/>
          <w:sz w:val="32"/>
          <w:szCs w:val="32"/>
          <w:highlight w:val="none"/>
          <w:u w:val="none"/>
          <w:shd w:val="clear" w:color="auto" w:fill="FFFFFF"/>
          <w:lang w:bidi="ar"/>
        </w:rPr>
        <w:t>知识产权国际布局、境内外自由实施分析、</w:t>
      </w:r>
      <w:r>
        <w:rPr>
          <w:rFonts w:hint="default" w:ascii="Times New Roman" w:hAnsi="Times New Roman" w:eastAsia="仿宋_GB2312" w:cs="Times New Roman"/>
          <w:color w:val="auto"/>
          <w:kern w:val="0"/>
          <w:sz w:val="32"/>
          <w:szCs w:val="32"/>
          <w:highlight w:val="none"/>
          <w:u w:val="none"/>
          <w:shd w:val="clear" w:color="auto" w:fill="FFFFFF"/>
          <w:lang w:bidi="ar"/>
        </w:rPr>
        <w:t>知识产权非确权类法律服务</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数据知识产权登记服务</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知识产权管理规范贯标服务</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购买国内专利（或商标）数据库、检索及管理系统（或账号）和电子存证、加密软件等知识产权相关服务。</w:t>
      </w:r>
    </w:p>
    <w:p w14:paraId="49BFFAF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3.不适用情况</w:t>
      </w:r>
    </w:p>
    <w:p w14:paraId="76ED01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（1）</w:t>
      </w:r>
      <w:r>
        <w:rPr>
          <w:rFonts w:hint="default" w:ascii="Times New Roman" w:hAnsi="Times New Roman" w:eastAsia="仿宋_GB2312" w:cs="Times New Roman"/>
          <w:color w:val="auto"/>
          <w:kern w:val="0"/>
          <w:sz w:val="32"/>
          <w:szCs w:val="32"/>
          <w:highlight w:val="none"/>
          <w:shd w:val="clear" w:color="auto" w:fill="FFFFFF"/>
          <w:lang w:bidi="ar"/>
        </w:rPr>
        <w:t>同一事项</w:t>
      </w:r>
      <w:r>
        <w:rPr>
          <w:rFonts w:hint="default" w:ascii="Times New Roman" w:hAnsi="Times New Roman" w:eastAsia="仿宋_GB2312" w:cs="Times New Roman"/>
          <w:color w:val="auto"/>
          <w:kern w:val="0"/>
          <w:sz w:val="32"/>
          <w:szCs w:val="32"/>
          <w:highlight w:val="none"/>
          <w:shd w:val="clear" w:color="auto" w:fill="FFFFFF"/>
          <w:lang w:val="en-US" w:eastAsia="zh-CN" w:bidi="ar"/>
        </w:rPr>
        <w:t>享受上级部门政策或</w:t>
      </w:r>
      <w:r>
        <w:rPr>
          <w:rFonts w:hint="default" w:ascii="Times New Roman" w:hAnsi="Times New Roman" w:eastAsia="仿宋_GB2312" w:cs="Times New Roman"/>
          <w:color w:val="auto"/>
          <w:kern w:val="0"/>
          <w:sz w:val="32"/>
          <w:szCs w:val="32"/>
          <w:highlight w:val="none"/>
          <w:shd w:val="clear" w:color="auto" w:fill="FFFFFF"/>
          <w:lang w:bidi="ar"/>
        </w:rPr>
        <w:t>本区其他政策</w:t>
      </w:r>
      <w:r>
        <w:rPr>
          <w:rFonts w:hint="default" w:ascii="Times New Roman" w:hAnsi="Times New Roman" w:eastAsia="仿宋_GB2312" w:cs="Times New Roman"/>
          <w:color w:val="auto"/>
          <w:kern w:val="0"/>
          <w:sz w:val="32"/>
          <w:szCs w:val="32"/>
          <w:highlight w:val="none"/>
          <w:shd w:val="clear" w:color="auto" w:fill="FFFFFF"/>
          <w:lang w:val="en-US" w:eastAsia="zh-CN" w:bidi="ar"/>
        </w:rPr>
        <w:t>扶持</w:t>
      </w:r>
      <w:r>
        <w:rPr>
          <w:rFonts w:hint="default" w:ascii="Times New Roman" w:hAnsi="Times New Roman" w:eastAsia="仿宋_GB2312" w:cs="Times New Roman"/>
          <w:color w:val="auto"/>
          <w:kern w:val="0"/>
          <w:sz w:val="32"/>
          <w:szCs w:val="32"/>
          <w:highlight w:val="none"/>
          <w:shd w:val="clear" w:color="auto" w:fill="FFFFFF"/>
          <w:lang w:bidi="ar"/>
        </w:rPr>
        <w:t>的，</w:t>
      </w:r>
      <w:r>
        <w:rPr>
          <w:rFonts w:hint="default" w:ascii="Times New Roman" w:hAnsi="Times New Roman" w:eastAsia="仿宋_GB2312" w:cs="Times New Roman"/>
          <w:color w:val="auto"/>
          <w:kern w:val="0"/>
          <w:sz w:val="32"/>
          <w:szCs w:val="32"/>
          <w:highlight w:val="none"/>
          <w:shd w:val="clear" w:color="auto" w:fill="FFFFFF"/>
          <w:lang w:val="en-US" w:eastAsia="zh-CN" w:bidi="ar"/>
        </w:rPr>
        <w:t>不予适用</w:t>
      </w:r>
      <w:r>
        <w:rPr>
          <w:rFonts w:hint="default" w:ascii="Times New Roman" w:hAnsi="Times New Roman" w:eastAsia="仿宋_GB2312" w:cs="Times New Roman"/>
          <w:color w:val="auto"/>
          <w:kern w:val="0"/>
          <w:sz w:val="32"/>
          <w:szCs w:val="32"/>
          <w:highlight w:val="none"/>
          <w:shd w:val="clear" w:color="auto" w:fill="FFFFFF"/>
          <w:lang w:bidi="ar"/>
        </w:rPr>
        <w:t>，另有规定的除外</w:t>
      </w:r>
      <w:r>
        <w:rPr>
          <w:rFonts w:hint="default" w:ascii="Times New Roman" w:hAnsi="Times New Roman" w:eastAsia="仿宋_GB2312" w:cs="Times New Roman"/>
          <w:color w:val="auto"/>
          <w:kern w:val="0"/>
          <w:sz w:val="32"/>
          <w:szCs w:val="32"/>
          <w:highlight w:val="none"/>
          <w:shd w:val="clear" w:color="auto" w:fill="FFFFFF"/>
          <w:lang w:eastAsia="zh-CN" w:bidi="ar"/>
        </w:rPr>
        <w:t>。</w:t>
      </w:r>
    </w:p>
    <w:p w14:paraId="68923B6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（2）</w:t>
      </w:r>
      <w:r>
        <w:rPr>
          <w:rFonts w:hint="default" w:ascii="Times New Roman" w:hAnsi="Times New Roman" w:eastAsia="仿宋_GB2312" w:cs="Times New Roman"/>
          <w:color w:val="auto"/>
          <w:kern w:val="0"/>
          <w:sz w:val="32"/>
          <w:szCs w:val="32"/>
          <w:highlight w:val="none"/>
          <w:u w:val="none"/>
          <w:shd w:val="clear" w:color="auto" w:fill="FFFFFF"/>
          <w:lang w:bidi="ar"/>
        </w:rPr>
        <w:t>不可用于委托开展专利代理</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及日常法律顾问</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服务</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p>
    <w:p w14:paraId="59B2152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（三）</w:t>
      </w:r>
      <w:r>
        <w:rPr>
          <w:rFonts w:hint="default" w:ascii="Times New Roman" w:hAnsi="Times New Roman" w:eastAsia="楷体_GB2312" w:cs="Times New Roman"/>
          <w:sz w:val="32"/>
          <w:szCs w:val="32"/>
          <w:highlight w:val="none"/>
          <w:u w:val="none"/>
          <w:lang w:val="en-US" w:eastAsia="zh-CN"/>
        </w:rPr>
        <w:t>流程</w:t>
      </w:r>
      <w:r>
        <w:rPr>
          <w:rFonts w:hint="default" w:ascii="Times New Roman" w:hAnsi="Times New Roman" w:eastAsia="楷体_GB2312" w:cs="Times New Roman"/>
          <w:sz w:val="32"/>
          <w:szCs w:val="32"/>
          <w:highlight w:val="none"/>
          <w:u w:val="none"/>
          <w:lang w:val="en-US" w:eastAsia="zh-CN"/>
        </w:rPr>
        <w:t>监管</w:t>
      </w:r>
    </w:p>
    <w:p w14:paraId="582E38A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服务机构实时向区知识产权局报送</w:t>
      </w:r>
      <w:r>
        <w:rPr>
          <w:rFonts w:hint="default" w:ascii="Times New Roman" w:hAnsi="Times New Roman" w:eastAsia="仿宋_GB2312" w:cs="Times New Roman"/>
          <w:sz w:val="32"/>
          <w:szCs w:val="32"/>
          <w:highlight w:val="none"/>
          <w:u w:val="none"/>
        </w:rPr>
        <w:t>服务券使用情况</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由区知识产权局核实</w:t>
      </w:r>
      <w:r>
        <w:rPr>
          <w:rFonts w:hint="default" w:ascii="Times New Roman" w:hAnsi="Times New Roman" w:eastAsia="仿宋_GB2312" w:cs="Times New Roman"/>
          <w:sz w:val="32"/>
          <w:szCs w:val="32"/>
          <w:highlight w:val="none"/>
          <w:u w:val="none"/>
          <w:lang w:val="en-US" w:eastAsia="zh-CN"/>
        </w:rPr>
        <w:t>登记</w:t>
      </w:r>
      <w:r>
        <w:rPr>
          <w:rFonts w:hint="default" w:ascii="Times New Roman" w:hAnsi="Times New Roman" w:eastAsia="仿宋_GB2312" w:cs="Times New Roman"/>
          <w:sz w:val="32"/>
          <w:szCs w:val="32"/>
          <w:highlight w:val="none"/>
          <w:u w:val="none"/>
          <w:lang w:val="en-US" w:eastAsia="zh-CN"/>
        </w:rPr>
        <w:t>并定期予以公示，以防出现超额发券、</w:t>
      </w:r>
      <w:r>
        <w:rPr>
          <w:rFonts w:hint="default" w:ascii="Times New Roman" w:hAnsi="Times New Roman" w:eastAsia="仿宋_GB2312" w:cs="Times New Roman"/>
          <w:sz w:val="32"/>
          <w:szCs w:val="32"/>
          <w:highlight w:val="none"/>
          <w:u w:val="none"/>
          <w:lang w:val="en-US" w:eastAsia="zh-CN"/>
        </w:rPr>
        <w:t>超额</w:t>
      </w:r>
      <w:r>
        <w:rPr>
          <w:rFonts w:hint="default" w:ascii="Times New Roman" w:hAnsi="Times New Roman" w:eastAsia="仿宋_GB2312" w:cs="Times New Roman"/>
          <w:sz w:val="32"/>
          <w:szCs w:val="32"/>
          <w:highlight w:val="none"/>
          <w:u w:val="none"/>
          <w:lang w:val="en-US" w:eastAsia="zh-CN"/>
        </w:rPr>
        <w:t>用券及用券不规范等问题</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服务券</w:t>
      </w:r>
      <w:r>
        <w:rPr>
          <w:rFonts w:hint="default" w:ascii="Times New Roman" w:hAnsi="Times New Roman" w:eastAsia="仿宋_GB2312" w:cs="Times New Roman"/>
          <w:sz w:val="32"/>
          <w:szCs w:val="32"/>
          <w:highlight w:val="none"/>
          <w:u w:val="none"/>
          <w:lang w:val="en-US" w:eastAsia="zh-CN"/>
        </w:rPr>
        <w:t>发放实施</w:t>
      </w:r>
      <w:r>
        <w:rPr>
          <w:rFonts w:hint="default" w:ascii="Times New Roman" w:hAnsi="Times New Roman" w:eastAsia="仿宋_GB2312" w:cs="Times New Roman"/>
          <w:sz w:val="32"/>
          <w:szCs w:val="32"/>
          <w:highlight w:val="none"/>
          <w:u w:val="none"/>
          <w:lang w:val="en-US" w:eastAsia="zh-CN"/>
        </w:rPr>
        <w:t>满半年后开展中期检查，对用券率</w:t>
      </w:r>
      <w:r>
        <w:rPr>
          <w:rFonts w:hint="default" w:ascii="Times New Roman" w:hAnsi="Times New Roman" w:eastAsia="仿宋_GB2312" w:cs="Times New Roman"/>
          <w:sz w:val="32"/>
          <w:szCs w:val="32"/>
          <w:highlight w:val="none"/>
          <w:u w:val="none"/>
          <w:lang w:val="en-US" w:eastAsia="zh-CN"/>
        </w:rPr>
        <w:t>较低</w:t>
      </w:r>
      <w:r>
        <w:rPr>
          <w:rFonts w:hint="default" w:ascii="Times New Roman" w:hAnsi="Times New Roman" w:eastAsia="仿宋_GB2312" w:cs="Times New Roman"/>
          <w:sz w:val="32"/>
          <w:szCs w:val="32"/>
          <w:highlight w:val="none"/>
          <w:u w:val="none"/>
          <w:lang w:val="en-US" w:eastAsia="zh-CN"/>
        </w:rPr>
        <w:t>、企业投诉</w:t>
      </w:r>
      <w:r>
        <w:rPr>
          <w:rFonts w:hint="default" w:ascii="Times New Roman" w:hAnsi="Times New Roman" w:eastAsia="仿宋_GB2312" w:cs="Times New Roman"/>
          <w:sz w:val="32"/>
          <w:szCs w:val="32"/>
          <w:highlight w:val="none"/>
          <w:u w:val="none"/>
          <w:lang w:val="en-US" w:eastAsia="zh-CN"/>
        </w:rPr>
        <w:t>率较高、存在恶意套取财政资金行为</w:t>
      </w:r>
      <w:r>
        <w:rPr>
          <w:rFonts w:hint="default" w:ascii="Times New Roman" w:hAnsi="Times New Roman" w:eastAsia="仿宋_GB2312" w:cs="Times New Roman"/>
          <w:sz w:val="32"/>
          <w:szCs w:val="32"/>
          <w:highlight w:val="none"/>
          <w:u w:val="none"/>
          <w:lang w:val="en-US" w:eastAsia="zh-CN"/>
        </w:rPr>
        <w:t>及其他不符合要求的服务机构，</w:t>
      </w:r>
      <w:r>
        <w:rPr>
          <w:rFonts w:hint="default" w:ascii="Times New Roman" w:hAnsi="Times New Roman" w:eastAsia="仿宋_GB2312" w:cs="Times New Roman"/>
          <w:sz w:val="32"/>
          <w:szCs w:val="32"/>
          <w:highlight w:val="none"/>
          <w:u w:val="none"/>
          <w:lang w:val="en-US" w:eastAsia="zh-CN"/>
        </w:rPr>
        <w:t>可以撤销其服务券发放资格</w:t>
      </w:r>
      <w:r>
        <w:rPr>
          <w:rFonts w:hint="default" w:ascii="Times New Roman" w:hAnsi="Times New Roman" w:eastAsia="仿宋_GB2312" w:cs="Times New Roman"/>
          <w:sz w:val="32"/>
          <w:szCs w:val="32"/>
          <w:highlight w:val="none"/>
          <w:u w:val="none"/>
          <w:lang w:val="en-US" w:eastAsia="zh-CN"/>
        </w:rPr>
        <w:t>。</w:t>
      </w:r>
    </w:p>
    <w:p w14:paraId="6E4D6FB7">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lang w:val="en-US" w:eastAsia="zh-CN"/>
        </w:rPr>
        <w:t>登记</w:t>
      </w:r>
      <w:r>
        <w:rPr>
          <w:rFonts w:hint="default" w:ascii="Times New Roman" w:hAnsi="Times New Roman" w:eastAsia="仿宋_GB2312" w:cs="Times New Roman"/>
          <w:sz w:val="32"/>
          <w:szCs w:val="32"/>
          <w:highlight w:val="none"/>
          <w:u w:val="none"/>
          <w:lang w:val="en-US" w:eastAsia="zh-CN"/>
        </w:rPr>
        <w:t>流程</w:t>
      </w:r>
    </w:p>
    <w:p w14:paraId="7DFFB55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1</w:t>
      </w:r>
      <w:r>
        <w:rPr>
          <w:rFonts w:hint="default" w:ascii="Times New Roman" w:hAnsi="Times New Roman" w:eastAsia="仿宋_GB2312" w:cs="Times New Roman"/>
          <w:sz w:val="32"/>
          <w:szCs w:val="32"/>
          <w:highlight w:val="none"/>
          <w:u w:val="none"/>
        </w:rPr>
        <w:t>）服务机构填写《广州开发区知识产权服务券登记表》（附件3）并提供相关证明材料至指定邮箱</w:t>
      </w:r>
      <w:r>
        <w:rPr>
          <w:rFonts w:hint="default" w:ascii="Times New Roman" w:hAnsi="Times New Roman" w:eastAsia="仿宋_GB2312" w:cs="Times New Roman"/>
          <w:sz w:val="32"/>
          <w:szCs w:val="32"/>
          <w:highlight w:val="none"/>
          <w:u w:val="none"/>
          <w:lang w:eastAsia="zh-CN"/>
        </w:rPr>
        <w:t>。</w:t>
      </w:r>
    </w:p>
    <w:p w14:paraId="0E4F0806">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2</w:t>
      </w:r>
      <w:r>
        <w:rPr>
          <w:rFonts w:hint="default" w:ascii="Times New Roman" w:hAnsi="Times New Roman" w:eastAsia="仿宋_GB2312" w:cs="Times New Roman"/>
          <w:sz w:val="32"/>
          <w:szCs w:val="32"/>
          <w:highlight w:val="none"/>
          <w:u w:val="none"/>
        </w:rPr>
        <w:t>）区知识产权局对《广州开发区知识产权服务券登记表》（附件3）填写的信息</w:t>
      </w:r>
      <w:r>
        <w:rPr>
          <w:rFonts w:hint="default" w:ascii="Times New Roman" w:hAnsi="Times New Roman" w:eastAsia="仿宋_GB2312" w:cs="Times New Roman"/>
          <w:sz w:val="32"/>
          <w:szCs w:val="32"/>
          <w:highlight w:val="none"/>
          <w:u w:val="none"/>
          <w:lang w:val="en-US" w:eastAsia="zh-CN"/>
        </w:rPr>
        <w:t>及相关附件材料</w:t>
      </w:r>
      <w:r>
        <w:rPr>
          <w:rFonts w:hint="default" w:ascii="Times New Roman" w:hAnsi="Times New Roman" w:eastAsia="仿宋_GB2312" w:cs="Times New Roman"/>
          <w:sz w:val="32"/>
          <w:szCs w:val="32"/>
          <w:highlight w:val="none"/>
          <w:u w:val="none"/>
        </w:rPr>
        <w:t>进行审查</w:t>
      </w:r>
      <w:r>
        <w:rPr>
          <w:rFonts w:hint="default" w:ascii="Times New Roman" w:hAnsi="Times New Roman" w:eastAsia="仿宋_GB2312" w:cs="Times New Roman"/>
          <w:sz w:val="32"/>
          <w:szCs w:val="32"/>
          <w:highlight w:val="none"/>
          <w:u w:val="none"/>
          <w:lang w:val="en-US" w:eastAsia="zh-CN"/>
        </w:rPr>
        <w:t>并对审查通过的予以登记。若企业超额使用服务券，则按照先到先得原则（即“登记使用时间顺序”）界定服务券有效使用范围，仅针对有效使用范围内的服务券使用情况予以登记。</w:t>
      </w:r>
    </w:p>
    <w:p w14:paraId="2564049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）区知识产权局</w:t>
      </w:r>
      <w:r>
        <w:rPr>
          <w:rFonts w:hint="default" w:ascii="Times New Roman" w:hAnsi="Times New Roman" w:eastAsia="仿宋_GB2312" w:cs="Times New Roman"/>
          <w:sz w:val="32"/>
          <w:szCs w:val="32"/>
          <w:highlight w:val="none"/>
          <w:u w:val="none"/>
          <w:lang w:val="en-US" w:eastAsia="zh-CN"/>
        </w:rPr>
        <w:t>每月定期公示服务券使用进度，包括发券机构、用券额度、服务类别等。</w:t>
      </w:r>
    </w:p>
    <w:p w14:paraId="7522279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val="en-US" w:eastAsia="zh-CN"/>
        </w:rPr>
        <w:t>登记</w:t>
      </w:r>
      <w:r>
        <w:rPr>
          <w:rFonts w:hint="default" w:ascii="Times New Roman" w:hAnsi="Times New Roman" w:eastAsia="仿宋_GB2312" w:cs="Times New Roman"/>
          <w:sz w:val="32"/>
          <w:szCs w:val="32"/>
          <w:highlight w:val="none"/>
          <w:u w:val="none"/>
        </w:rPr>
        <w:t>材料</w:t>
      </w:r>
    </w:p>
    <w:p w14:paraId="694CA442">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以下材料一式一份，在登记时提供，均要求加盖申请单位公章，扫描后发至指定电子邮箱。</w:t>
      </w:r>
    </w:p>
    <w:p w14:paraId="1B2BFB8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（1）《广州开发区知识产权服务券登记表》（附件3）</w:t>
      </w:r>
      <w:r>
        <w:rPr>
          <w:rFonts w:hint="default" w:ascii="Times New Roman" w:hAnsi="Times New Roman" w:eastAsia="仿宋_GB2312" w:cs="Times New Roman"/>
          <w:sz w:val="32"/>
          <w:szCs w:val="32"/>
          <w:highlight w:val="none"/>
          <w:u w:val="none"/>
          <w:lang w:eastAsia="zh-CN"/>
        </w:rPr>
        <w:t>。</w:t>
      </w:r>
    </w:p>
    <w:p w14:paraId="1538CAA0">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（2）适用企业相关证明材料</w:t>
      </w:r>
      <w:r>
        <w:rPr>
          <w:rFonts w:hint="default" w:ascii="Times New Roman" w:hAnsi="Times New Roman" w:eastAsia="仿宋_GB2312" w:cs="Times New Roman"/>
          <w:sz w:val="32"/>
          <w:szCs w:val="32"/>
          <w:highlight w:val="none"/>
          <w:u w:val="none"/>
          <w:lang w:eastAsia="zh-CN"/>
        </w:rPr>
        <w:t>。</w:t>
      </w:r>
    </w:p>
    <w:p w14:paraId="49A32EC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（3）合同</w:t>
      </w:r>
      <w:r>
        <w:rPr>
          <w:rFonts w:hint="default" w:ascii="Times New Roman" w:hAnsi="Times New Roman" w:eastAsia="仿宋_GB2312" w:cs="Times New Roman"/>
          <w:sz w:val="32"/>
          <w:szCs w:val="32"/>
          <w:highlight w:val="none"/>
          <w:u w:val="none"/>
          <w:lang w:val="en-US" w:eastAsia="zh-CN"/>
        </w:rPr>
        <w:t>及相关发票、支付凭证等财务证明材料</w:t>
      </w:r>
      <w:r>
        <w:rPr>
          <w:rFonts w:hint="default" w:ascii="Times New Roman" w:hAnsi="Times New Roman" w:eastAsia="仿宋_GB2312" w:cs="Times New Roman"/>
          <w:sz w:val="32"/>
          <w:szCs w:val="32"/>
          <w:highlight w:val="none"/>
          <w:u w:val="none"/>
        </w:rPr>
        <w:t>。</w:t>
      </w:r>
    </w:p>
    <w:p w14:paraId="648EB400">
      <w:pPr>
        <w:keepNext w:val="0"/>
        <w:keepLines w:val="0"/>
        <w:pageBreakBefore w:val="0"/>
        <w:widowControl w:val="0"/>
        <w:tabs>
          <w:tab w:val="left" w:pos="5271"/>
        </w:tabs>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bCs/>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（四）</w:t>
      </w:r>
      <w:r>
        <w:rPr>
          <w:rFonts w:hint="default" w:ascii="Times New Roman" w:hAnsi="Times New Roman" w:eastAsia="楷体_GB2312" w:cs="Times New Roman"/>
          <w:sz w:val="32"/>
          <w:szCs w:val="32"/>
          <w:highlight w:val="none"/>
          <w:u w:val="none"/>
          <w:lang w:val="en-US" w:eastAsia="zh-CN"/>
        </w:rPr>
        <w:t>年度</w:t>
      </w:r>
      <w:r>
        <w:rPr>
          <w:rFonts w:hint="default" w:ascii="Times New Roman" w:hAnsi="Times New Roman" w:eastAsia="楷体_GB2312" w:cs="Times New Roman"/>
          <w:sz w:val="32"/>
          <w:szCs w:val="32"/>
          <w:highlight w:val="none"/>
          <w:u w:val="none"/>
          <w:lang w:val="en-US" w:eastAsia="zh-CN"/>
        </w:rPr>
        <w:t>考核</w:t>
      </w:r>
      <w:r>
        <w:rPr>
          <w:rFonts w:hint="default" w:ascii="Times New Roman" w:hAnsi="Times New Roman" w:eastAsia="楷体_GB2312" w:cs="Times New Roman"/>
          <w:sz w:val="32"/>
          <w:szCs w:val="32"/>
          <w:highlight w:val="none"/>
          <w:u w:val="none"/>
          <w:lang w:val="en-US" w:eastAsia="zh-CN"/>
        </w:rPr>
        <w:tab/>
      </w:r>
      <w:r>
        <w:rPr>
          <w:rFonts w:hint="default" w:ascii="Times New Roman" w:hAnsi="Times New Roman" w:eastAsia="楷体_GB2312" w:cs="Times New Roman"/>
          <w:sz w:val="32"/>
          <w:szCs w:val="32"/>
          <w:highlight w:val="none"/>
          <w:u w:val="none"/>
          <w:lang w:val="en-US" w:eastAsia="zh-CN"/>
        </w:rPr>
        <w:t xml:space="preserve">      </w:t>
      </w:r>
    </w:p>
    <w:p w14:paraId="6F19E5C5">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1.考核</w:t>
      </w:r>
    </w:p>
    <w:p w14:paraId="5EAC6CF0">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服务券发放实施满一年，</w:t>
      </w:r>
      <w:r>
        <w:rPr>
          <w:rFonts w:hint="default" w:ascii="Times New Roman" w:hAnsi="Times New Roman" w:eastAsia="仿宋_GB2312" w:cs="Times New Roman"/>
          <w:sz w:val="32"/>
          <w:szCs w:val="32"/>
          <w:highlight w:val="none"/>
          <w:u w:val="none"/>
        </w:rPr>
        <w:t>由区知识产权局委托第三方机构组织专家组</w:t>
      </w:r>
      <w:r>
        <w:rPr>
          <w:rFonts w:hint="default" w:ascii="Times New Roman" w:hAnsi="Times New Roman" w:eastAsia="仿宋_GB2312" w:cs="Times New Roman"/>
          <w:sz w:val="32"/>
          <w:szCs w:val="32"/>
          <w:highlight w:val="none"/>
          <w:u w:val="none"/>
          <w:lang w:val="en-US" w:eastAsia="zh-CN"/>
        </w:rPr>
        <w:t>根据《</w:t>
      </w:r>
      <w:r>
        <w:rPr>
          <w:rFonts w:hint="default" w:ascii="Times New Roman" w:hAnsi="Times New Roman" w:eastAsia="仿宋_GB2312" w:cs="Times New Roman"/>
          <w:sz w:val="32"/>
          <w:szCs w:val="32"/>
          <w:highlight w:val="none"/>
          <w:u w:val="none"/>
        </w:rPr>
        <w:t>广州开发区 广州市黄埔区知识产权服务</w:t>
      </w:r>
      <w:r>
        <w:rPr>
          <w:rFonts w:hint="default" w:ascii="Times New Roman" w:hAnsi="Times New Roman" w:eastAsia="仿宋_GB2312" w:cs="Times New Roman"/>
          <w:sz w:val="32"/>
          <w:szCs w:val="32"/>
          <w:highlight w:val="none"/>
          <w:u w:val="none"/>
          <w:lang w:val="en-US" w:eastAsia="zh-CN"/>
        </w:rPr>
        <w:t>券申领</w:t>
      </w:r>
      <w:r>
        <w:rPr>
          <w:rFonts w:hint="default" w:ascii="Times New Roman" w:hAnsi="Times New Roman" w:eastAsia="仿宋_GB2312" w:cs="Times New Roman"/>
          <w:sz w:val="32"/>
          <w:szCs w:val="32"/>
          <w:highlight w:val="none"/>
          <w:u w:val="none"/>
        </w:rPr>
        <w:t>机构年度考核</w:t>
      </w:r>
      <w:r>
        <w:rPr>
          <w:rFonts w:hint="default" w:ascii="Times New Roman" w:hAnsi="Times New Roman" w:eastAsia="仿宋_GB2312" w:cs="Times New Roman"/>
          <w:sz w:val="32"/>
          <w:szCs w:val="32"/>
          <w:highlight w:val="none"/>
          <w:u w:val="none"/>
          <w:lang w:val="en-US" w:eastAsia="zh-CN"/>
        </w:rPr>
        <w:t>指标</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（附件</w:t>
      </w:r>
      <w:r>
        <w:rPr>
          <w:rFonts w:hint="default" w:ascii="Times New Roman" w:hAnsi="Times New Roman" w:eastAsia="仿宋_GB2312" w:cs="Times New Roman"/>
          <w:sz w:val="32"/>
          <w:szCs w:val="32"/>
          <w:highlight w:val="none"/>
          <w:u w:val="none"/>
          <w:lang w:eastAsia="zh-CN"/>
        </w:rPr>
        <w:t>4</w:t>
      </w:r>
      <w:r>
        <w:rPr>
          <w:rFonts w:hint="default" w:ascii="Times New Roman" w:hAnsi="Times New Roman" w:eastAsia="仿宋_GB2312" w:cs="Times New Roman"/>
          <w:sz w:val="32"/>
          <w:szCs w:val="32"/>
          <w:highlight w:val="none"/>
          <w:u w:val="none"/>
        </w:rPr>
        <w:t>）进行</w:t>
      </w:r>
      <w:r>
        <w:rPr>
          <w:rFonts w:hint="default" w:ascii="Times New Roman" w:hAnsi="Times New Roman" w:eastAsia="仿宋_GB2312" w:cs="Times New Roman"/>
          <w:sz w:val="32"/>
          <w:szCs w:val="32"/>
          <w:highlight w:val="none"/>
          <w:u w:val="none"/>
          <w:lang w:val="en-US" w:eastAsia="zh-CN"/>
        </w:rPr>
        <w:t>年度</w:t>
      </w:r>
      <w:r>
        <w:rPr>
          <w:rFonts w:hint="default" w:ascii="Times New Roman" w:hAnsi="Times New Roman" w:eastAsia="仿宋_GB2312" w:cs="Times New Roman"/>
          <w:sz w:val="32"/>
          <w:szCs w:val="32"/>
          <w:highlight w:val="none"/>
          <w:u w:val="none"/>
        </w:rPr>
        <w:t>考核，</w:t>
      </w:r>
      <w:r>
        <w:rPr>
          <w:rFonts w:hint="default" w:ascii="Times New Roman" w:hAnsi="Times New Roman" w:eastAsia="仿宋_GB2312" w:cs="Times New Roman"/>
          <w:sz w:val="32"/>
          <w:szCs w:val="32"/>
          <w:highlight w:val="none"/>
          <w:u w:val="none"/>
          <w:lang w:val="en-US" w:eastAsia="zh-CN"/>
        </w:rPr>
        <w:t>综合考核达到及格标准的为通过考核</w:t>
      </w:r>
      <w:r>
        <w:rPr>
          <w:rFonts w:hint="default" w:ascii="Times New Roman" w:hAnsi="Times New Roman" w:eastAsia="仿宋_GB2312" w:cs="Times New Roman"/>
          <w:sz w:val="32"/>
          <w:szCs w:val="32"/>
          <w:highlight w:val="none"/>
          <w:u w:val="none"/>
        </w:rPr>
        <w:t>，年度考核不通过的，不予资金扶持。</w:t>
      </w:r>
    </w:p>
    <w:p w14:paraId="4EE0A720">
      <w:pPr>
        <w:keepNext w:val="0"/>
        <w:keepLines w:val="0"/>
        <w:pageBreakBefore w:val="0"/>
        <w:widowControl w:val="0"/>
        <w:kinsoku/>
        <w:wordWrap/>
        <w:overflowPunct/>
        <w:topLinePunct w:val="0"/>
        <w:autoSpaceDE/>
        <w:autoSpaceDN/>
        <w:bidi w:val="0"/>
        <w:adjustRightInd/>
        <w:spacing w:line="560" w:lineRule="exact"/>
        <w:ind w:left="0" w:leftChars="0" w:firstLine="645"/>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公示</w:t>
      </w:r>
      <w:r>
        <w:rPr>
          <w:rFonts w:hint="default" w:ascii="Times New Roman" w:hAnsi="Times New Roman" w:eastAsia="仿宋_GB2312" w:cs="Times New Roman"/>
          <w:sz w:val="32"/>
          <w:szCs w:val="32"/>
          <w:highlight w:val="none"/>
          <w:u w:val="none"/>
          <w:lang w:val="en-US" w:eastAsia="zh-CN"/>
        </w:rPr>
        <w:t>及异议</w:t>
      </w:r>
    </w:p>
    <w:p w14:paraId="1584F7A1">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经考核通过的</w:t>
      </w:r>
      <w:r>
        <w:rPr>
          <w:rFonts w:hint="default" w:ascii="Times New Roman" w:hAnsi="Times New Roman" w:eastAsia="仿宋_GB2312" w:cs="Times New Roman"/>
          <w:sz w:val="32"/>
          <w:szCs w:val="32"/>
          <w:highlight w:val="none"/>
          <w:u w:val="none"/>
          <w:lang w:val="en-US" w:eastAsia="zh-CN"/>
        </w:rPr>
        <w:t>服务机构</w:t>
      </w:r>
      <w:r>
        <w:rPr>
          <w:rFonts w:hint="default" w:ascii="Times New Roman" w:hAnsi="Times New Roman" w:eastAsia="仿宋_GB2312" w:cs="Times New Roman"/>
          <w:sz w:val="32"/>
          <w:szCs w:val="32"/>
          <w:highlight w:val="none"/>
          <w:u w:val="none"/>
        </w:rPr>
        <w:t>名单，</w:t>
      </w:r>
      <w:r>
        <w:rPr>
          <w:rFonts w:hint="default" w:ascii="Times New Roman" w:hAnsi="Times New Roman" w:eastAsia="仿宋_GB2312" w:cs="Times New Roman"/>
          <w:sz w:val="32"/>
          <w:szCs w:val="32"/>
          <w:highlight w:val="none"/>
          <w:u w:val="none"/>
          <w:lang w:val="en-US" w:eastAsia="zh-CN"/>
        </w:rPr>
        <w:t>由</w:t>
      </w:r>
      <w:r>
        <w:rPr>
          <w:rFonts w:hint="default" w:ascii="Times New Roman" w:hAnsi="Times New Roman" w:eastAsia="仿宋_GB2312" w:cs="Times New Roman"/>
          <w:sz w:val="32"/>
          <w:szCs w:val="32"/>
          <w:highlight w:val="none"/>
          <w:u w:val="none"/>
        </w:rPr>
        <w:t>区知识产权局</w:t>
      </w:r>
      <w:r>
        <w:rPr>
          <w:rFonts w:hint="default" w:ascii="Times New Roman" w:hAnsi="Times New Roman" w:eastAsia="仿宋_GB2312" w:cs="Times New Roman"/>
          <w:sz w:val="32"/>
          <w:szCs w:val="32"/>
          <w:highlight w:val="none"/>
          <w:u w:val="none"/>
          <w:lang w:val="en-US" w:eastAsia="zh-CN"/>
        </w:rPr>
        <w:t>在</w:t>
      </w:r>
      <w:r>
        <w:rPr>
          <w:rFonts w:hint="default" w:ascii="Times New Roman" w:hAnsi="Times New Roman" w:eastAsia="仿宋_GB2312" w:cs="Times New Roman"/>
          <w:sz w:val="32"/>
          <w:szCs w:val="32"/>
          <w:highlight w:val="none"/>
          <w:u w:val="none"/>
        </w:rPr>
        <w:t>政务网站上公示5个工作日。公示期满无异议的，</w:t>
      </w:r>
      <w:r>
        <w:rPr>
          <w:rFonts w:hint="default" w:ascii="Times New Roman" w:hAnsi="Times New Roman" w:eastAsia="仿宋_GB2312" w:cs="Times New Roman"/>
          <w:sz w:val="32"/>
          <w:szCs w:val="32"/>
          <w:highlight w:val="none"/>
          <w:u w:val="none"/>
          <w:lang w:val="en-US" w:eastAsia="zh-CN"/>
        </w:rPr>
        <w:t>确认为考核通过；</w:t>
      </w:r>
      <w:r>
        <w:rPr>
          <w:rFonts w:hint="default" w:ascii="Times New Roman" w:hAnsi="Times New Roman" w:eastAsia="仿宋_GB2312" w:cs="Times New Roman"/>
          <w:sz w:val="32"/>
          <w:szCs w:val="32"/>
          <w:highlight w:val="none"/>
          <w:u w:val="none"/>
        </w:rPr>
        <w:t>存在异议的，</w:t>
      </w:r>
      <w:r>
        <w:rPr>
          <w:rFonts w:hint="default" w:ascii="Times New Roman" w:hAnsi="Times New Roman" w:eastAsia="仿宋_GB2312" w:cs="Times New Roman"/>
          <w:sz w:val="32"/>
          <w:szCs w:val="32"/>
          <w:highlight w:val="none"/>
          <w:u w:val="none"/>
          <w:lang w:val="en-US" w:eastAsia="zh-CN"/>
        </w:rPr>
        <w:t>则由区知识产权局组织</w:t>
      </w:r>
      <w:r>
        <w:rPr>
          <w:rFonts w:hint="default" w:ascii="Times New Roman" w:hAnsi="Times New Roman" w:eastAsia="仿宋_GB2312" w:cs="Times New Roman"/>
          <w:sz w:val="32"/>
          <w:szCs w:val="32"/>
          <w:highlight w:val="none"/>
          <w:u w:val="none"/>
        </w:rPr>
        <w:t>调查核实</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经调查核实异议理由成立的，确认为考核不通过；异议理由不成立的，</w:t>
      </w:r>
      <w:r>
        <w:rPr>
          <w:rFonts w:hint="default" w:ascii="Times New Roman" w:hAnsi="Times New Roman" w:eastAsia="仿宋_GB2312" w:cs="Times New Roman"/>
          <w:sz w:val="32"/>
          <w:szCs w:val="32"/>
          <w:highlight w:val="none"/>
          <w:u w:val="none"/>
          <w:lang w:val="en-US" w:eastAsia="zh-CN"/>
        </w:rPr>
        <w:t>则确认</w:t>
      </w:r>
      <w:r>
        <w:rPr>
          <w:rFonts w:hint="default" w:ascii="Times New Roman" w:hAnsi="Times New Roman" w:eastAsia="仿宋_GB2312" w:cs="Times New Roman"/>
          <w:sz w:val="32"/>
          <w:szCs w:val="32"/>
          <w:highlight w:val="none"/>
          <w:u w:val="none"/>
        </w:rPr>
        <w:t>为通过考核。</w:t>
      </w:r>
    </w:p>
    <w:p w14:paraId="04EA864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sz w:val="32"/>
          <w:szCs w:val="32"/>
          <w:highlight w:val="none"/>
          <w:u w:val="none"/>
          <w:lang w:val="en-US" w:eastAsia="zh-CN"/>
        </w:rPr>
        <w:t>资金兑现</w:t>
      </w:r>
    </w:p>
    <w:p w14:paraId="228A7F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由区知识产权局根据</w:t>
      </w:r>
      <w:r>
        <w:rPr>
          <w:rFonts w:hint="default" w:ascii="Times New Roman" w:hAnsi="Times New Roman" w:eastAsia="仿宋_GB2312" w:cs="Times New Roman"/>
          <w:sz w:val="32"/>
          <w:szCs w:val="32"/>
          <w:highlight w:val="none"/>
          <w:u w:val="none"/>
          <w:lang w:val="en-US" w:eastAsia="zh-CN"/>
        </w:rPr>
        <w:t>服务机构提交的兑现申请及其考核结果按流程予以兑现。</w:t>
      </w:r>
      <w:r>
        <w:rPr>
          <w:rFonts w:hint="default" w:ascii="Times New Roman" w:hAnsi="Times New Roman" w:eastAsia="仿宋_GB2312" w:cs="Times New Roman"/>
          <w:sz w:val="32"/>
          <w:szCs w:val="32"/>
          <w:highlight w:val="none"/>
          <w:u w:val="none"/>
        </w:rPr>
        <w:t>具体兑现要求详见相关政策兑现指南</w:t>
      </w:r>
      <w:r>
        <w:rPr>
          <w:rFonts w:hint="default" w:ascii="Times New Roman" w:hAnsi="Times New Roman" w:eastAsia="仿宋_GB2312" w:cs="Times New Roman"/>
          <w:sz w:val="32"/>
          <w:szCs w:val="32"/>
          <w:highlight w:val="none"/>
          <w:u w:val="none"/>
          <w:lang w:eastAsia="zh-CN"/>
        </w:rPr>
        <w:t>。</w:t>
      </w:r>
    </w:p>
    <w:p w14:paraId="33B7EED5">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u w:val="none"/>
          <w:shd w:val="clear" w:color="auto" w:fill="FFFFFF"/>
          <w:lang w:val="en-US" w:eastAsia="zh-CN" w:bidi="ar"/>
        </w:rPr>
        <w:t>三、工作保障</w:t>
      </w:r>
    </w:p>
    <w:p w14:paraId="26CB53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（一）加强组织领导。区知识产权局加强对服务券的统筹管理，建立服务机构服务券使用台账，动态更新并向社会公示，做好服务券使用的日常管理工作。</w:t>
      </w:r>
    </w:p>
    <w:p w14:paraId="2AA385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（二）加强监督评价。区知识产权局加强对服务机构的监管和评价，对服务机构实施定期或不定期抽查，综合评价其服务能力、活跃程度、信用状况及其它情况。对企业投诉服务质量差、不符合要求的服务机构，</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可以</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予以清退；被列入</w:t>
      </w:r>
      <w:r>
        <w:rPr>
          <w:rFonts w:hint="default" w:ascii="Times New Roman" w:hAnsi="Times New Roman" w:eastAsia="仿宋_GB2312" w:cs="Times New Roman"/>
          <w:color w:val="auto"/>
          <w:kern w:val="0"/>
          <w:sz w:val="32"/>
          <w:szCs w:val="32"/>
          <w:highlight w:val="none"/>
          <w:u w:val="none"/>
          <w:shd w:val="clear" w:color="auto" w:fill="FFFFFF"/>
          <w:lang w:bidi="ar"/>
        </w:rPr>
        <w:t>经营异常名录、严重违法失信名单</w:t>
      </w:r>
      <w:r>
        <w:rPr>
          <w:rFonts w:hint="default" w:ascii="Times New Roman" w:hAnsi="Times New Roman" w:eastAsia="仿宋_GB2312" w:cs="Times New Roman"/>
          <w:color w:val="auto"/>
          <w:kern w:val="0"/>
          <w:sz w:val="32"/>
          <w:szCs w:val="32"/>
          <w:highlight w:val="none"/>
          <w:u w:val="none"/>
          <w:shd w:val="clear" w:color="auto" w:fill="FFFFFF"/>
          <w:lang w:eastAsia="zh-CN" w:bidi="ar"/>
        </w:rPr>
        <w:t>、</w:t>
      </w:r>
      <w:r>
        <w:rPr>
          <w:rFonts w:hint="default" w:ascii="Times New Roman" w:hAnsi="Times New Roman" w:eastAsia="仿宋_GB2312" w:cs="Times New Roman"/>
          <w:color w:val="auto"/>
          <w:kern w:val="0"/>
          <w:sz w:val="32"/>
          <w:szCs w:val="32"/>
          <w:highlight w:val="none"/>
          <w:u w:val="none"/>
          <w:shd w:val="clear" w:color="auto" w:fill="FFFFFF"/>
          <w:lang w:bidi="ar"/>
        </w:rPr>
        <w:t>风险名单</w:t>
      </w:r>
      <w:r>
        <w:rPr>
          <w:rFonts w:hint="default" w:ascii="Times New Roman" w:hAnsi="Times New Roman" w:eastAsia="仿宋_GB2312" w:cs="Times New Roman"/>
          <w:color w:val="auto"/>
          <w:kern w:val="0"/>
          <w:sz w:val="32"/>
          <w:szCs w:val="32"/>
          <w:highlight w:val="none"/>
          <w:u w:val="none"/>
          <w:shd w:val="clear" w:color="auto" w:fill="FFFFFF"/>
          <w:lang w:val="en-US" w:eastAsia="zh-CN" w:bidi="ar"/>
        </w:rPr>
        <w:t>及</w:t>
      </w:r>
      <w:r>
        <w:rPr>
          <w:rFonts w:hint="default" w:ascii="Times New Roman" w:hAnsi="Times New Roman" w:eastAsia="仿宋_GB2312" w:cs="Times New Roman"/>
          <w:color w:val="auto"/>
          <w:kern w:val="0"/>
          <w:sz w:val="32"/>
          <w:szCs w:val="32"/>
          <w:highlight w:val="none"/>
          <w:u w:val="none"/>
          <w:shd w:val="clear" w:color="auto" w:fill="FFFFFF"/>
          <w:lang w:bidi="ar"/>
        </w:rPr>
        <w:t>限制服务名单</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、存在违法违规行为的，</w:t>
      </w:r>
      <w:r>
        <w:rPr>
          <w:rFonts w:hint="default" w:ascii="Times New Roman" w:hAnsi="Times New Roman" w:eastAsia="仿宋_GB2312" w:cs="Times New Roman"/>
          <w:color w:val="auto"/>
          <w:kern w:val="0"/>
          <w:sz w:val="32"/>
          <w:szCs w:val="32"/>
          <w:highlight w:val="none"/>
          <w:u w:val="none"/>
          <w:shd w:val="clear" w:color="auto" w:fill="FFFFFF"/>
          <w:lang w:bidi="ar"/>
        </w:rPr>
        <w:t>可以撤销其服务券发放资格。</w:t>
      </w:r>
    </w:p>
    <w:p w14:paraId="4E5701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（三）加强失信追责。服务券不得转让、买卖、重复使用，使用、兑付不得弄虚作假，不得</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恶意抬高交易额骗取政策资助，不得</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有</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恶意套取财政资金的</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关联交易</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行为</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，服务内容不得转包，不得与其他财政专项资金项目或政策重复资助。</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交易额度偏离</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正常知识产权市场服务价格</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过高的，视情况不予资助。</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服务券管理遵守国家有关法律、法规和规章制度。区知识产权局有权对企业使用服务券情况进行抽查，企业和服务机构应当积极配合，对于拒不配合</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的，暂停资金兑付。</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经查实，</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对存在</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弄虚作假</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行为的，</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不予兑付或追回已兑付资金，纳入相关单位信用记录；情节严重的，依法追究法律责任。</w:t>
      </w:r>
    </w:p>
    <w:p w14:paraId="49D14616">
      <w:pPr>
        <w:keepNext w:val="0"/>
        <w:keepLines w:val="0"/>
        <w:pageBreakBefore w:val="0"/>
        <w:widowControl/>
        <w:numPr>
          <w:ilvl w:val="0"/>
          <w:numId w:val="0"/>
        </w:numP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highlight w:val="none"/>
          <w:u w:val="none"/>
        </w:rPr>
      </w:pPr>
    </w:p>
    <w:p w14:paraId="5162B51B">
      <w:pPr>
        <w:keepNext w:val="0"/>
        <w:keepLines w:val="0"/>
        <w:pageBreakBefore w:val="0"/>
        <w:widowControl w:val="0"/>
        <w:kinsoku/>
        <w:wordWrap/>
        <w:overflowPunct/>
        <w:topLinePunct w:val="0"/>
        <w:autoSpaceDE/>
        <w:autoSpaceDN/>
        <w:bidi w:val="0"/>
        <w:adjustRightInd/>
        <w:spacing w:line="560" w:lineRule="exact"/>
        <w:ind w:left="1598" w:leftChars="304" w:hanging="960" w:hangingChars="3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附件：</w:t>
      </w:r>
      <w:r>
        <w:rPr>
          <w:rFonts w:hint="default" w:ascii="Times New Roman" w:hAnsi="Times New Roman"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rPr>
        <w:t>广州开发区 广州市黄埔区</w:t>
      </w:r>
      <w:r>
        <w:rPr>
          <w:rFonts w:hint="default" w:ascii="Times New Roman" w:hAnsi="Times New Roman" w:eastAsia="仿宋_GB2312" w:cs="Times New Roman"/>
          <w:color w:val="000000"/>
          <w:sz w:val="32"/>
          <w:szCs w:val="32"/>
          <w:highlight w:val="none"/>
          <w:u w:val="none"/>
          <w:lang w:val="en-US" w:eastAsia="zh-CN"/>
        </w:rPr>
        <w:t>知识产权服务</w:t>
      </w:r>
      <w:r>
        <w:rPr>
          <w:rFonts w:hint="default" w:ascii="Times New Roman" w:hAnsi="Times New Roman" w:eastAsia="仿宋_GB2312" w:cs="Times New Roman"/>
          <w:color w:val="000000"/>
          <w:sz w:val="32"/>
          <w:szCs w:val="32"/>
          <w:highlight w:val="none"/>
          <w:u w:val="none"/>
          <w:lang w:val="en-US" w:eastAsia="zh-CN"/>
        </w:rPr>
        <w:t>券申领</w:t>
      </w:r>
      <w:r>
        <w:rPr>
          <w:rFonts w:hint="default" w:ascii="Times New Roman" w:hAnsi="Times New Roman" w:eastAsia="仿宋_GB2312" w:cs="Times New Roman"/>
          <w:color w:val="000000"/>
          <w:sz w:val="32"/>
          <w:szCs w:val="32"/>
          <w:highlight w:val="none"/>
          <w:u w:val="none"/>
          <w:lang w:val="en-US" w:eastAsia="zh-CN"/>
        </w:rPr>
        <w:t>机构申报书</w:t>
      </w:r>
    </w:p>
    <w:p w14:paraId="2D7EC146">
      <w:pPr>
        <w:keepNext w:val="0"/>
        <w:keepLines w:val="0"/>
        <w:pageBreakBefore w:val="0"/>
        <w:widowControl w:val="0"/>
        <w:numPr>
          <w:ilvl w:val="0"/>
          <w:numId w:val="0"/>
        </w:numPr>
        <w:kinsoku/>
        <w:wordWrap/>
        <w:overflowPunct/>
        <w:topLinePunct w:val="0"/>
        <w:autoSpaceDE/>
        <w:autoSpaceDN/>
        <w:bidi w:val="0"/>
        <w:adjustRightInd/>
        <w:spacing w:line="560" w:lineRule="exact"/>
        <w:ind w:left="1596" w:leftChars="760" w:firstLine="0" w:firstLineChars="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广州开发区 广州市黄埔区知识产权服务</w:t>
      </w:r>
      <w:r>
        <w:rPr>
          <w:rFonts w:hint="default" w:ascii="Times New Roman" w:hAnsi="Times New Roman" w:eastAsia="仿宋_GB2312" w:cs="Times New Roman"/>
          <w:sz w:val="32"/>
          <w:szCs w:val="32"/>
          <w:highlight w:val="none"/>
          <w:u w:val="none"/>
          <w:lang w:val="en-US" w:eastAsia="zh-CN"/>
        </w:rPr>
        <w:t>券申领</w:t>
      </w:r>
      <w:r>
        <w:rPr>
          <w:rFonts w:hint="default" w:ascii="Times New Roman" w:hAnsi="Times New Roman" w:eastAsia="仿宋_GB2312" w:cs="Times New Roman"/>
          <w:sz w:val="32"/>
          <w:szCs w:val="32"/>
          <w:highlight w:val="none"/>
          <w:u w:val="none"/>
        </w:rPr>
        <w:t>机构遴选</w:t>
      </w:r>
      <w:r>
        <w:rPr>
          <w:rFonts w:hint="default" w:ascii="Times New Roman" w:hAnsi="Times New Roman" w:eastAsia="仿宋_GB2312" w:cs="Times New Roman"/>
          <w:sz w:val="32"/>
          <w:szCs w:val="32"/>
          <w:highlight w:val="none"/>
          <w:u w:val="none"/>
          <w:lang w:val="en-US" w:eastAsia="zh-CN"/>
        </w:rPr>
        <w:t>指标</w:t>
      </w:r>
    </w:p>
    <w:p w14:paraId="607E5F9B">
      <w:pPr>
        <w:keepNext w:val="0"/>
        <w:keepLines w:val="0"/>
        <w:pageBreakBefore w:val="0"/>
        <w:widowControl w:val="0"/>
        <w:numPr>
          <w:ilvl w:val="0"/>
          <w:numId w:val="0"/>
        </w:numPr>
        <w:kinsoku/>
        <w:wordWrap/>
        <w:overflowPunct/>
        <w:topLinePunct w:val="0"/>
        <w:autoSpaceDE/>
        <w:autoSpaceDN/>
        <w:bidi w:val="0"/>
        <w:adjustRightInd/>
        <w:spacing w:line="560" w:lineRule="exact"/>
        <w:ind w:left="1596" w:leftChars="760" w:firstLine="0" w:firstLineChars="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广州开发区知识产权服务券登记表</w:t>
      </w:r>
    </w:p>
    <w:p w14:paraId="1E796C58">
      <w:pPr>
        <w:keepNext w:val="0"/>
        <w:keepLines w:val="0"/>
        <w:pageBreakBefore w:val="0"/>
        <w:widowControl w:val="0"/>
        <w:numPr>
          <w:ilvl w:val="0"/>
          <w:numId w:val="0"/>
        </w:numPr>
        <w:kinsoku/>
        <w:wordWrap/>
        <w:overflowPunct/>
        <w:topLinePunct w:val="0"/>
        <w:autoSpaceDE/>
        <w:autoSpaceDN/>
        <w:bidi w:val="0"/>
        <w:adjustRightInd/>
        <w:spacing w:line="560" w:lineRule="exact"/>
        <w:ind w:left="1596" w:leftChars="760" w:firstLine="0" w:firstLineChars="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color w:val="000000"/>
          <w:sz w:val="32"/>
          <w:szCs w:val="32"/>
          <w:highlight w:val="none"/>
          <w:u w:val="none"/>
          <w:lang w:eastAsia="zh-CN"/>
        </w:rPr>
        <w:t>广州开发区 广州市黄埔区</w:t>
      </w:r>
      <w:r>
        <w:rPr>
          <w:rFonts w:hint="default" w:ascii="Times New Roman" w:hAnsi="Times New Roman" w:eastAsia="仿宋_GB2312" w:cs="Times New Roman"/>
          <w:color w:val="000000"/>
          <w:sz w:val="32"/>
          <w:szCs w:val="32"/>
          <w:highlight w:val="none"/>
          <w:u w:val="none"/>
          <w:lang w:val="en-US" w:eastAsia="zh-CN"/>
        </w:rPr>
        <w:t>知识产权服务</w:t>
      </w:r>
      <w:r>
        <w:rPr>
          <w:rFonts w:hint="default" w:ascii="Times New Roman" w:hAnsi="Times New Roman" w:eastAsia="仿宋_GB2312" w:cs="Times New Roman"/>
          <w:color w:val="000000"/>
          <w:sz w:val="32"/>
          <w:szCs w:val="32"/>
          <w:highlight w:val="none"/>
          <w:u w:val="none"/>
          <w:lang w:val="en-US" w:eastAsia="zh-CN"/>
        </w:rPr>
        <w:t>券申领</w:t>
      </w:r>
      <w:r>
        <w:rPr>
          <w:rFonts w:hint="default" w:ascii="Times New Roman" w:hAnsi="Times New Roman" w:eastAsia="仿宋_GB2312" w:cs="Times New Roman"/>
          <w:color w:val="000000"/>
          <w:sz w:val="32"/>
          <w:szCs w:val="32"/>
          <w:highlight w:val="none"/>
          <w:u w:val="none"/>
          <w:lang w:val="en-US" w:eastAsia="zh-CN"/>
        </w:rPr>
        <w:t>机构</w:t>
      </w:r>
      <w:r>
        <w:rPr>
          <w:rFonts w:hint="default" w:ascii="Times New Roman" w:hAnsi="Times New Roman" w:eastAsia="仿宋_GB2312" w:cs="Times New Roman"/>
          <w:sz w:val="32"/>
          <w:szCs w:val="32"/>
          <w:highlight w:val="none"/>
          <w:u w:val="none"/>
        </w:rPr>
        <w:t>年度考核</w:t>
      </w:r>
      <w:r>
        <w:rPr>
          <w:rFonts w:hint="default" w:ascii="Times New Roman" w:hAnsi="Times New Roman" w:eastAsia="仿宋_GB2312" w:cs="Times New Roman"/>
          <w:sz w:val="32"/>
          <w:szCs w:val="32"/>
          <w:highlight w:val="none"/>
          <w:u w:val="none"/>
          <w:lang w:val="en-US" w:eastAsia="zh-CN"/>
        </w:rPr>
        <w:t>指标</w:t>
      </w:r>
    </w:p>
    <w:p w14:paraId="6595B483">
      <w:pPr>
        <w:keepNext w:val="0"/>
        <w:keepLines w:val="0"/>
        <w:pageBreakBefore w:val="0"/>
        <w:widowControl w:val="0"/>
        <w:numPr>
          <w:ilvl w:val="0"/>
          <w:numId w:val="0"/>
        </w:numPr>
        <w:kinsoku/>
        <w:wordWrap/>
        <w:overflowPunct/>
        <w:topLinePunct w:val="0"/>
        <w:autoSpaceDE/>
        <w:autoSpaceDN/>
        <w:bidi w:val="0"/>
        <w:adjustRightInd/>
        <w:spacing w:line="560" w:lineRule="exact"/>
        <w:ind w:left="1596" w:leftChars="760" w:firstLine="0" w:firstLineChars="0"/>
        <w:textAlignment w:val="auto"/>
        <w:rPr>
          <w:rFonts w:hint="default" w:ascii="Times New Roman" w:hAnsi="Times New Roman" w:eastAsia="仿宋_GB2312" w:cs="Times New Roman"/>
          <w:sz w:val="32"/>
          <w:szCs w:val="32"/>
          <w:highlight w:val="none"/>
          <w:u w:val="none"/>
        </w:rPr>
      </w:pPr>
    </w:p>
    <w:p w14:paraId="42D7B286">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righ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 </w:t>
      </w:r>
    </w:p>
    <w:p w14:paraId="14C877BB">
      <w:pPr>
        <w:pStyle w:val="2"/>
        <w:keepNext w:val="0"/>
        <w:keepLines w:val="0"/>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 xml:space="preserve">                </w:t>
      </w:r>
    </w:p>
    <w:p w14:paraId="63468B52">
      <w:pPr>
        <w:pStyle w:val="2"/>
        <w:keepNext w:val="0"/>
        <w:keepLines w:val="0"/>
        <w:pageBreakBefore w:val="0"/>
        <w:kinsoku/>
        <w:wordWrap/>
        <w:overflowPunct/>
        <w:topLinePunct w:val="0"/>
        <w:bidi w:val="0"/>
        <w:spacing w:line="560" w:lineRule="exact"/>
        <w:rPr>
          <w:rFonts w:hint="default" w:ascii="Times New Roman" w:hAnsi="Times New Roman" w:eastAsia="仿宋_GB2312" w:cs="Times New Roman"/>
          <w:sz w:val="32"/>
          <w:szCs w:val="32"/>
          <w:highlight w:val="none"/>
          <w:u w:val="none"/>
          <w:lang w:val="en-US" w:eastAsia="zh-CN"/>
        </w:rPr>
      </w:pPr>
    </w:p>
    <w:p w14:paraId="34DFC2E4">
      <w:pPr>
        <w:keepNext w:val="0"/>
        <w:keepLines w:val="0"/>
        <w:pageBreakBefore w:val="0"/>
        <w:kinsoku/>
        <w:wordWrap/>
        <w:overflowPunct/>
        <w:topLinePunct w:val="0"/>
        <w:bidi w:val="0"/>
        <w:spacing w:line="560" w:lineRule="exact"/>
        <w:rPr>
          <w:rFonts w:hint="default" w:ascii="Times New Roman" w:hAnsi="Times New Roman" w:cs="Times New Roman"/>
          <w:highlight w:val="none"/>
          <w:u w:val="none"/>
          <w:lang w:val="en-US" w:eastAsia="zh-CN"/>
        </w:rPr>
      </w:pPr>
    </w:p>
    <w:p w14:paraId="4224AE6B">
      <w:pPr>
        <w:keepNext w:val="0"/>
        <w:keepLines w:val="0"/>
        <w:pageBreakBefore w:val="0"/>
        <w:kinsoku/>
        <w:wordWrap/>
        <w:overflowPunct/>
        <w:topLinePunct w:val="0"/>
        <w:bidi w:val="0"/>
        <w:spacing w:line="560" w:lineRule="exact"/>
        <w:rPr>
          <w:rFonts w:hint="default" w:ascii="Times New Roman" w:hAnsi="Times New Roman" w:eastAsia="黑体" w:cs="Times New Roman"/>
          <w:bCs/>
          <w:sz w:val="32"/>
          <w:szCs w:val="32"/>
          <w:highlight w:val="none"/>
          <w:u w:val="none"/>
        </w:rPr>
      </w:pPr>
      <w:r>
        <w:rPr>
          <w:rFonts w:hint="default" w:ascii="Times New Roman" w:hAnsi="Times New Roman" w:eastAsia="黑体" w:cs="Times New Roman"/>
          <w:sz w:val="32"/>
          <w:highlight w:val="none"/>
          <w:u w:val="none"/>
        </w:rPr>
        <w:br w:type="page"/>
      </w:r>
      <w:r>
        <w:rPr>
          <w:rFonts w:hint="default" w:ascii="Times New Roman" w:hAnsi="Times New Roman" w:eastAsia="黑体" w:cs="Times New Roman"/>
          <w:bCs/>
          <w:sz w:val="32"/>
          <w:szCs w:val="32"/>
          <w:highlight w:val="none"/>
          <w:u w:val="none"/>
        </w:rPr>
        <w:t>附件</w:t>
      </w:r>
      <w:r>
        <w:rPr>
          <w:rFonts w:hint="default" w:ascii="Times New Roman" w:hAnsi="Times New Roman" w:eastAsia="黑体" w:cs="Times New Roman"/>
          <w:bCs/>
          <w:sz w:val="32"/>
          <w:szCs w:val="32"/>
          <w:highlight w:val="none"/>
          <w:u w:val="none"/>
          <w:lang w:val="en-US" w:eastAsia="zh-CN"/>
        </w:rPr>
        <w:t>1</w:t>
      </w:r>
    </w:p>
    <w:p w14:paraId="3BDA546C">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b/>
          <w:sz w:val="72"/>
          <w:szCs w:val="72"/>
          <w:highlight w:val="none"/>
          <w:u w:val="none"/>
          <w:lang w:val="en-US" w:eastAsia="zh-CN"/>
        </w:rPr>
      </w:pPr>
      <w:r>
        <w:rPr>
          <w:rFonts w:hint="default" w:ascii="Times New Roman" w:hAnsi="Times New Roman" w:cs="Times New Roman"/>
          <w:b/>
          <w:sz w:val="72"/>
          <w:szCs w:val="72"/>
          <w:highlight w:val="none"/>
          <w:u w:val="none"/>
          <w:lang w:eastAsia="zh-CN"/>
        </w:rPr>
        <w:t>广州开发区 广州市黄埔区</w:t>
      </w:r>
      <w:r>
        <w:rPr>
          <w:rFonts w:hint="default" w:ascii="Times New Roman" w:hAnsi="Times New Roman" w:cs="Times New Roman"/>
          <w:b/>
          <w:sz w:val="72"/>
          <w:szCs w:val="72"/>
          <w:highlight w:val="none"/>
          <w:u w:val="none"/>
          <w:lang w:val="en-US" w:eastAsia="zh-CN"/>
        </w:rPr>
        <w:t>知识产权服务</w:t>
      </w:r>
      <w:r>
        <w:rPr>
          <w:rFonts w:hint="default" w:ascii="Times New Roman" w:hAnsi="Times New Roman" w:cs="Times New Roman"/>
          <w:b/>
          <w:sz w:val="72"/>
          <w:szCs w:val="72"/>
          <w:highlight w:val="none"/>
          <w:u w:val="none"/>
          <w:lang w:val="en-US" w:eastAsia="zh-CN"/>
        </w:rPr>
        <w:t>券申领</w:t>
      </w:r>
      <w:r>
        <w:rPr>
          <w:rFonts w:hint="default" w:ascii="Times New Roman" w:hAnsi="Times New Roman" w:cs="Times New Roman"/>
          <w:b/>
          <w:sz w:val="72"/>
          <w:szCs w:val="72"/>
          <w:highlight w:val="none"/>
          <w:u w:val="none"/>
          <w:lang w:val="en-US" w:eastAsia="zh-CN"/>
        </w:rPr>
        <w:t>机构</w:t>
      </w:r>
    </w:p>
    <w:p w14:paraId="0BED9B42">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eastAsia="宋体" w:cs="Times New Roman"/>
          <w:b/>
          <w:sz w:val="52"/>
          <w:szCs w:val="52"/>
          <w:highlight w:val="none"/>
          <w:u w:val="none"/>
          <w:lang w:val="en-US" w:eastAsia="zh-CN"/>
        </w:rPr>
      </w:pPr>
      <w:r>
        <w:rPr>
          <w:rFonts w:hint="default" w:ascii="Times New Roman" w:hAnsi="Times New Roman" w:cs="Times New Roman"/>
          <w:b/>
          <w:sz w:val="52"/>
          <w:szCs w:val="52"/>
          <w:highlight w:val="none"/>
          <w:u w:val="none"/>
          <w:lang w:eastAsia="zh-CN"/>
        </w:rPr>
        <w:t>（</w:t>
      </w:r>
      <w:r>
        <w:rPr>
          <w:rFonts w:hint="default" w:ascii="Times New Roman" w:hAnsi="Times New Roman" w:cs="Times New Roman"/>
          <w:b/>
          <w:sz w:val="52"/>
          <w:szCs w:val="52"/>
          <w:highlight w:val="none"/>
          <w:u w:val="none"/>
          <w:lang w:val="en-US" w:eastAsia="zh-CN"/>
        </w:rPr>
        <w:t>2025年度）</w:t>
      </w:r>
    </w:p>
    <w:p w14:paraId="49F2ECA2">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b/>
          <w:bCs/>
          <w:sz w:val="84"/>
          <w:szCs w:val="84"/>
          <w:highlight w:val="none"/>
          <w:u w:val="none"/>
        </w:rPr>
      </w:pPr>
      <w:r>
        <w:rPr>
          <w:rFonts w:hint="default" w:ascii="Times New Roman" w:hAnsi="Times New Roman" w:cs="Times New Roman"/>
          <w:b/>
          <w:bCs/>
          <w:sz w:val="84"/>
          <w:szCs w:val="84"/>
          <w:highlight w:val="none"/>
          <w:u w:val="none"/>
        </w:rPr>
        <w:t>申</w:t>
      </w:r>
    </w:p>
    <w:p w14:paraId="3B25DB23">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b/>
          <w:bCs/>
          <w:sz w:val="56"/>
          <w:szCs w:val="56"/>
          <w:highlight w:val="none"/>
          <w:u w:val="none"/>
        </w:rPr>
      </w:pPr>
    </w:p>
    <w:p w14:paraId="47AC86D0">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b/>
          <w:bCs/>
          <w:sz w:val="84"/>
          <w:szCs w:val="84"/>
          <w:highlight w:val="none"/>
          <w:u w:val="none"/>
        </w:rPr>
      </w:pPr>
      <w:r>
        <w:rPr>
          <w:rFonts w:hint="default" w:ascii="Times New Roman" w:hAnsi="Times New Roman" w:cs="Times New Roman"/>
          <w:b/>
          <w:bCs/>
          <w:sz w:val="84"/>
          <w:szCs w:val="84"/>
          <w:highlight w:val="none"/>
          <w:u w:val="none"/>
        </w:rPr>
        <w:t>报</w:t>
      </w:r>
    </w:p>
    <w:p w14:paraId="79E23D16">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b/>
          <w:bCs/>
          <w:sz w:val="56"/>
          <w:szCs w:val="56"/>
          <w:highlight w:val="none"/>
          <w:u w:val="none"/>
        </w:rPr>
      </w:pPr>
    </w:p>
    <w:p w14:paraId="5DABA52B">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sz w:val="84"/>
          <w:szCs w:val="84"/>
          <w:highlight w:val="none"/>
          <w:u w:val="none"/>
        </w:rPr>
      </w:pPr>
      <w:r>
        <w:rPr>
          <w:rFonts w:hint="default" w:ascii="Times New Roman" w:hAnsi="Times New Roman" w:cs="Times New Roman"/>
          <w:b/>
          <w:bCs/>
          <w:sz w:val="84"/>
          <w:szCs w:val="84"/>
          <w:highlight w:val="none"/>
          <w:u w:val="none"/>
        </w:rPr>
        <w:t>书</w:t>
      </w:r>
    </w:p>
    <w:p w14:paraId="7FE16C0B">
      <w:pPr>
        <w:keepNext w:val="0"/>
        <w:keepLines w:val="0"/>
        <w:pageBreakBefore w:val="0"/>
        <w:kinsoku/>
        <w:wordWrap/>
        <w:overflowPunct/>
        <w:topLinePunct w:val="0"/>
        <w:autoSpaceDE/>
        <w:autoSpaceDN/>
        <w:bidi w:val="0"/>
        <w:adjustRightInd/>
        <w:snapToGrid/>
        <w:spacing w:line="900" w:lineRule="exact"/>
        <w:textAlignment w:val="auto"/>
        <w:rPr>
          <w:rFonts w:hint="default" w:ascii="Times New Roman" w:hAnsi="Times New Roman" w:cs="Times New Roman"/>
          <w:b/>
          <w:sz w:val="52"/>
          <w:szCs w:val="52"/>
          <w:highlight w:val="none"/>
          <w:u w:val="none"/>
        </w:rPr>
      </w:pPr>
    </w:p>
    <w:p w14:paraId="6129630E">
      <w:pPr>
        <w:keepNext w:val="0"/>
        <w:keepLines w:val="0"/>
        <w:pageBreakBefore w:val="0"/>
        <w:kinsoku/>
        <w:wordWrap/>
        <w:overflowPunct/>
        <w:topLinePunct w:val="0"/>
        <w:autoSpaceDE/>
        <w:autoSpaceDN/>
        <w:bidi w:val="0"/>
        <w:adjustRightInd/>
        <w:snapToGrid/>
        <w:spacing w:line="900" w:lineRule="exact"/>
        <w:ind w:firstLine="565" w:firstLineChars="157"/>
        <w:jc w:val="left"/>
        <w:textAlignment w:val="auto"/>
        <w:rPr>
          <w:rFonts w:hint="default" w:ascii="Times New Roman" w:hAnsi="Times New Roman" w:cs="Times New Roman"/>
          <w:sz w:val="36"/>
          <w:szCs w:val="36"/>
          <w:highlight w:val="none"/>
          <w:u w:val="none"/>
        </w:rPr>
      </w:pPr>
      <w:r>
        <w:rPr>
          <w:rFonts w:hint="default" w:ascii="Times New Roman" w:hAnsi="Times New Roman" w:cs="Times New Roman"/>
          <w:sz w:val="36"/>
          <w:szCs w:val="36"/>
          <w:highlight w:val="none"/>
          <w:u w:val="none"/>
          <w:lang w:val="en-US" w:eastAsia="zh-CN"/>
        </w:rPr>
        <w:t>申报</w:t>
      </w:r>
      <w:r>
        <w:rPr>
          <w:rFonts w:hint="default" w:ascii="Times New Roman" w:hAnsi="Times New Roman" w:cs="Times New Roman"/>
          <w:sz w:val="36"/>
          <w:szCs w:val="36"/>
          <w:highlight w:val="none"/>
          <w:u w:val="none"/>
        </w:rPr>
        <w:t>单位：</w:t>
      </w:r>
    </w:p>
    <w:p w14:paraId="65627C75">
      <w:pPr>
        <w:keepNext w:val="0"/>
        <w:keepLines w:val="0"/>
        <w:pageBreakBefore w:val="0"/>
        <w:widowControl/>
        <w:kinsoku/>
        <w:wordWrap/>
        <w:overflowPunct/>
        <w:topLinePunct w:val="0"/>
        <w:autoSpaceDE/>
        <w:autoSpaceDN/>
        <w:bidi w:val="0"/>
        <w:adjustRightInd/>
        <w:snapToGrid/>
        <w:spacing w:line="900" w:lineRule="exact"/>
        <w:ind w:firstLine="540" w:firstLineChars="150"/>
        <w:jc w:val="left"/>
        <w:textAlignment w:val="auto"/>
        <w:rPr>
          <w:rFonts w:hint="default" w:ascii="Times New Roman" w:hAnsi="Times New Roman" w:cs="Times New Roman"/>
          <w:sz w:val="36"/>
          <w:szCs w:val="36"/>
          <w:highlight w:val="none"/>
          <w:u w:val="none"/>
        </w:rPr>
      </w:pPr>
      <w:r>
        <w:rPr>
          <w:rFonts w:hint="default" w:ascii="Times New Roman" w:hAnsi="Times New Roman" w:cs="Times New Roman"/>
          <w:sz w:val="36"/>
          <w:szCs w:val="36"/>
          <w:highlight w:val="none"/>
          <w:u w:val="none"/>
        </w:rPr>
        <w:t>申报时间：</w:t>
      </w:r>
    </w:p>
    <w:p w14:paraId="0D80F8EA">
      <w:pPr>
        <w:keepNext w:val="0"/>
        <w:keepLines w:val="0"/>
        <w:pageBreakBefore w:val="0"/>
        <w:kinsoku/>
        <w:wordWrap/>
        <w:overflowPunct/>
        <w:topLinePunct w:val="0"/>
        <w:autoSpaceDE/>
        <w:autoSpaceDN/>
        <w:bidi w:val="0"/>
        <w:adjustRightInd/>
        <w:snapToGrid/>
        <w:spacing w:line="900" w:lineRule="exact"/>
        <w:ind w:firstLine="565" w:firstLineChars="157"/>
        <w:jc w:val="left"/>
        <w:textAlignment w:val="auto"/>
        <w:rPr>
          <w:rFonts w:hint="default" w:ascii="Times New Roman" w:hAnsi="Times New Roman" w:cs="Times New Roman"/>
          <w:sz w:val="36"/>
          <w:szCs w:val="36"/>
          <w:highlight w:val="none"/>
          <w:u w:val="none"/>
        </w:rPr>
      </w:pPr>
      <w:r>
        <w:rPr>
          <w:rFonts w:hint="default" w:ascii="Times New Roman" w:hAnsi="Times New Roman" w:cs="Times New Roman"/>
          <w:sz w:val="36"/>
          <w:szCs w:val="36"/>
          <w:highlight w:val="none"/>
          <w:u w:val="none"/>
        </w:rPr>
        <w:t>联 系 人：</w:t>
      </w:r>
    </w:p>
    <w:p w14:paraId="6BEF9FB0">
      <w:pPr>
        <w:keepNext w:val="0"/>
        <w:keepLines w:val="0"/>
        <w:pageBreakBefore w:val="0"/>
        <w:widowControl/>
        <w:kinsoku/>
        <w:wordWrap/>
        <w:overflowPunct/>
        <w:topLinePunct w:val="0"/>
        <w:autoSpaceDE/>
        <w:autoSpaceDN/>
        <w:bidi w:val="0"/>
        <w:adjustRightInd/>
        <w:snapToGrid/>
        <w:spacing w:line="900" w:lineRule="exact"/>
        <w:ind w:firstLine="540" w:firstLineChars="150"/>
        <w:jc w:val="left"/>
        <w:textAlignment w:val="auto"/>
        <w:rPr>
          <w:rFonts w:hint="default" w:ascii="Times New Roman" w:hAnsi="Times New Roman" w:cs="Times New Roman"/>
          <w:sz w:val="36"/>
          <w:szCs w:val="36"/>
          <w:highlight w:val="none"/>
          <w:u w:val="none"/>
        </w:rPr>
      </w:pPr>
      <w:r>
        <w:rPr>
          <w:rFonts w:hint="default" w:ascii="Times New Roman" w:hAnsi="Times New Roman" w:cs="Times New Roman"/>
          <w:sz w:val="36"/>
          <w:szCs w:val="36"/>
          <w:highlight w:val="none"/>
          <w:u w:val="none"/>
        </w:rPr>
        <w:t>联系电话：</w:t>
      </w:r>
    </w:p>
    <w:p w14:paraId="07004E5F">
      <w:pPr>
        <w:keepNext w:val="0"/>
        <w:keepLines w:val="0"/>
        <w:pageBreakBefore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sz w:val="36"/>
          <w:szCs w:val="36"/>
          <w:highlight w:val="none"/>
          <w:u w:val="none"/>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FE3AD58">
      <w:pPr>
        <w:keepNext w:val="0"/>
        <w:keepLines w:val="0"/>
        <w:pageBreakBefore w:val="0"/>
        <w:kinsoku/>
        <w:wordWrap/>
        <w:overflowPunct/>
        <w:topLinePunct w:val="0"/>
        <w:bidi w:val="0"/>
        <w:spacing w:line="560" w:lineRule="exact"/>
        <w:jc w:val="center"/>
        <w:rPr>
          <w:rFonts w:hint="default" w:ascii="Times New Roman" w:hAnsi="Times New Roman" w:cs="Times New Roman"/>
          <w:sz w:val="36"/>
          <w:szCs w:val="36"/>
          <w:highlight w:val="none"/>
          <w:u w:val="none"/>
        </w:rPr>
      </w:pPr>
    </w:p>
    <w:p w14:paraId="2BE2CB78">
      <w:pPr>
        <w:keepNext w:val="0"/>
        <w:keepLines w:val="0"/>
        <w:pageBreakBefore w:val="0"/>
        <w:kinsoku/>
        <w:wordWrap/>
        <w:overflowPunct/>
        <w:topLinePunct w:val="0"/>
        <w:bidi w:val="0"/>
        <w:spacing w:line="560" w:lineRule="exact"/>
        <w:jc w:val="center"/>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rPr>
        <w:t>申报说明</w:t>
      </w:r>
    </w:p>
    <w:p w14:paraId="7B16D745">
      <w:pPr>
        <w:pStyle w:val="15"/>
        <w:keepNext w:val="0"/>
        <w:keepLines w:val="0"/>
        <w:pageBreakBefore w:val="0"/>
        <w:kinsoku/>
        <w:wordWrap/>
        <w:overflowPunct/>
        <w:topLinePunct w:val="0"/>
        <w:bidi w:val="0"/>
        <w:spacing w:line="560" w:lineRule="exact"/>
        <w:ind w:firstLine="630" w:firstLineChars="300"/>
        <w:jc w:val="left"/>
        <w:rPr>
          <w:rFonts w:hint="default" w:ascii="Times New Roman" w:hAnsi="Times New Roman" w:cs="Times New Roman"/>
          <w:szCs w:val="21"/>
          <w:highlight w:val="none"/>
          <w:u w:val="none"/>
        </w:rPr>
      </w:pPr>
    </w:p>
    <w:p w14:paraId="5F1C895F">
      <w:pPr>
        <w:pStyle w:val="15"/>
        <w:keepNext w:val="0"/>
        <w:keepLines w:val="0"/>
        <w:pageBreakBefore w:val="0"/>
        <w:kinsoku/>
        <w:wordWrap/>
        <w:overflowPunct/>
        <w:topLinePunct w:val="0"/>
        <w:bidi w:val="0"/>
        <w:spacing w:line="560" w:lineRule="exact"/>
        <w:ind w:firstLine="720" w:firstLineChars="300"/>
        <w:jc w:val="left"/>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一、申报内容必须保证真实完整无误。</w:t>
      </w:r>
    </w:p>
    <w:p w14:paraId="736F7061">
      <w:pPr>
        <w:pStyle w:val="15"/>
        <w:keepNext w:val="0"/>
        <w:keepLines w:val="0"/>
        <w:pageBreakBefore w:val="0"/>
        <w:kinsoku/>
        <w:wordWrap/>
        <w:overflowPunct/>
        <w:topLinePunct w:val="0"/>
        <w:bidi w:val="0"/>
        <w:spacing w:line="560" w:lineRule="exact"/>
        <w:ind w:firstLine="720" w:firstLineChars="300"/>
        <w:jc w:val="left"/>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二、申报书内各栏目不得空缺，无内容时填“无”。</w:t>
      </w:r>
    </w:p>
    <w:p w14:paraId="6CE2C205">
      <w:pPr>
        <w:pStyle w:val="15"/>
        <w:keepNext w:val="0"/>
        <w:keepLines w:val="0"/>
        <w:pageBreakBefore w:val="0"/>
        <w:kinsoku/>
        <w:wordWrap/>
        <w:overflowPunct/>
        <w:topLinePunct w:val="0"/>
        <w:bidi w:val="0"/>
        <w:spacing w:line="560" w:lineRule="exact"/>
        <w:ind w:firstLine="720" w:firstLineChars="300"/>
        <w:jc w:val="left"/>
        <w:rPr>
          <w:rFonts w:hint="default" w:ascii="Times New Roman" w:hAnsi="Times New Roman" w:eastAsia="宋体" w:cs="Times New Roman"/>
          <w:sz w:val="24"/>
          <w:szCs w:val="24"/>
          <w:highlight w:val="none"/>
          <w:u w:val="none"/>
          <w:lang w:val="en-US" w:eastAsia="zh-CN"/>
        </w:rPr>
      </w:pPr>
      <w:r>
        <w:rPr>
          <w:rFonts w:hint="default" w:ascii="Times New Roman" w:hAnsi="Times New Roman" w:cs="Times New Roman"/>
          <w:sz w:val="24"/>
          <w:szCs w:val="24"/>
          <w:highlight w:val="none"/>
          <w:u w:val="none"/>
          <w:lang w:val="en-US" w:eastAsia="zh-CN"/>
        </w:rPr>
        <w:t>三</w:t>
      </w:r>
      <w:r>
        <w:rPr>
          <w:rFonts w:hint="default" w:ascii="Times New Roman" w:hAnsi="Times New Roman" w:cs="Times New Roman"/>
          <w:sz w:val="24"/>
          <w:szCs w:val="24"/>
          <w:highlight w:val="none"/>
          <w:u w:val="none"/>
          <w:lang w:val="en-US" w:eastAsia="zh-CN"/>
        </w:rPr>
        <w:t>、</w:t>
      </w:r>
      <w:r>
        <w:rPr>
          <w:rFonts w:hint="default" w:ascii="Times New Roman" w:hAnsi="Times New Roman" w:cs="Times New Roman"/>
          <w:sz w:val="24"/>
          <w:szCs w:val="24"/>
          <w:highlight w:val="none"/>
          <w:u w:val="none"/>
        </w:rPr>
        <w:t>申报书</w:t>
      </w:r>
      <w:r>
        <w:rPr>
          <w:rFonts w:hint="default" w:ascii="Times New Roman" w:hAnsi="Times New Roman" w:cs="Times New Roman"/>
          <w:sz w:val="24"/>
          <w:szCs w:val="24"/>
          <w:highlight w:val="none"/>
          <w:u w:val="none"/>
          <w:lang w:val="en-US" w:eastAsia="zh-CN"/>
        </w:rPr>
        <w:t>有关证明材料应当作为附件同步提交。</w:t>
      </w:r>
    </w:p>
    <w:p w14:paraId="4E590A21">
      <w:pPr>
        <w:pStyle w:val="15"/>
        <w:keepNext w:val="0"/>
        <w:keepLines w:val="0"/>
        <w:pageBreakBefore w:val="0"/>
        <w:kinsoku/>
        <w:wordWrap/>
        <w:overflowPunct/>
        <w:topLinePunct w:val="0"/>
        <w:bidi w:val="0"/>
        <w:spacing w:line="560" w:lineRule="exact"/>
        <w:ind w:firstLine="720" w:firstLineChars="300"/>
        <w:jc w:val="left"/>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四</w:t>
      </w:r>
      <w:r>
        <w:rPr>
          <w:rFonts w:hint="default" w:ascii="Times New Roman" w:hAnsi="Times New Roman" w:cs="Times New Roman"/>
          <w:sz w:val="24"/>
          <w:szCs w:val="24"/>
          <w:highlight w:val="none"/>
          <w:u w:val="none"/>
        </w:rPr>
        <w:t>、材料要求一律采用A4纸</w:t>
      </w:r>
      <w:r>
        <w:rPr>
          <w:rFonts w:hint="default" w:ascii="Times New Roman" w:hAnsi="Times New Roman" w:cs="Times New Roman"/>
          <w:sz w:val="24"/>
          <w:szCs w:val="24"/>
          <w:highlight w:val="none"/>
          <w:u w:val="none"/>
          <w:lang w:eastAsia="zh-CN"/>
        </w:rPr>
        <w:t>，</w:t>
      </w:r>
      <w:r>
        <w:rPr>
          <w:rFonts w:hint="default" w:ascii="Times New Roman" w:hAnsi="Times New Roman" w:cs="Times New Roman"/>
          <w:sz w:val="24"/>
          <w:szCs w:val="24"/>
          <w:highlight w:val="none"/>
          <w:u w:val="none"/>
        </w:rPr>
        <w:t>制作目录</w:t>
      </w:r>
      <w:r>
        <w:rPr>
          <w:rFonts w:hint="default" w:ascii="Times New Roman" w:hAnsi="Times New Roman" w:cs="Times New Roman"/>
          <w:sz w:val="24"/>
          <w:szCs w:val="24"/>
          <w:highlight w:val="none"/>
          <w:u w:val="none"/>
          <w:lang w:val="en-US" w:eastAsia="zh-CN"/>
        </w:rPr>
        <w:t>和页码</w:t>
      </w:r>
      <w:r>
        <w:rPr>
          <w:rFonts w:hint="default" w:ascii="Times New Roman" w:hAnsi="Times New Roman" w:cs="Times New Roman"/>
          <w:sz w:val="24"/>
          <w:szCs w:val="24"/>
          <w:highlight w:val="none"/>
          <w:u w:val="none"/>
        </w:rPr>
        <w:t>，装订成册并加盖单位公章。</w:t>
      </w:r>
    </w:p>
    <w:p w14:paraId="40AF0074">
      <w:pPr>
        <w:keepNext w:val="0"/>
        <w:keepLines w:val="0"/>
        <w:pageBreakBefore w:val="0"/>
        <w:kinsoku/>
        <w:wordWrap/>
        <w:overflowPunct/>
        <w:topLinePunct w:val="0"/>
        <w:bidi w:val="0"/>
        <w:spacing w:line="560" w:lineRule="exact"/>
        <w:ind w:left="0" w:firstLine="0" w:firstLineChars="0"/>
        <w:jc w:val="center"/>
        <w:rPr>
          <w:rFonts w:hint="default" w:ascii="Times New Roman" w:hAnsi="Times New Roman" w:eastAsia="宋体" w:cs="Times New Roman"/>
          <w:b/>
          <w:bCs/>
          <w:sz w:val="36"/>
          <w:szCs w:val="24"/>
          <w:highlight w:val="none"/>
          <w:u w:val="none"/>
        </w:rPr>
      </w:pPr>
      <w:r>
        <w:rPr>
          <w:rFonts w:hint="default" w:ascii="Times New Roman" w:hAnsi="Times New Roman" w:cs="Times New Roman"/>
          <w:szCs w:val="21"/>
          <w:highlight w:val="none"/>
          <w:u w:val="none"/>
        </w:rPr>
        <w:br w:type="page"/>
      </w:r>
      <w:r>
        <w:rPr>
          <w:rFonts w:hint="default" w:ascii="Times New Roman" w:hAnsi="Times New Roman" w:cs="Times New Roman"/>
          <w:b/>
          <w:bCs/>
          <w:sz w:val="36"/>
          <w:szCs w:val="24"/>
          <w:highlight w:val="none"/>
          <w:u w:val="none"/>
          <w:lang w:val="en-US" w:eastAsia="zh-CN"/>
        </w:rPr>
        <w:t>广州开发区 广州市黄埔区</w:t>
      </w:r>
      <w:r>
        <w:rPr>
          <w:rFonts w:hint="default" w:ascii="Times New Roman" w:hAnsi="Times New Roman" w:eastAsia="宋体" w:cs="Times New Roman"/>
          <w:b/>
          <w:bCs/>
          <w:sz w:val="36"/>
          <w:szCs w:val="24"/>
          <w:highlight w:val="none"/>
          <w:u w:val="none"/>
        </w:rPr>
        <w:t>知识产权服务</w:t>
      </w:r>
      <w:r>
        <w:rPr>
          <w:rFonts w:hint="default" w:ascii="Times New Roman" w:hAnsi="Times New Roman" w:eastAsia="宋体" w:cs="Times New Roman"/>
          <w:b/>
          <w:bCs/>
          <w:sz w:val="36"/>
          <w:szCs w:val="24"/>
          <w:highlight w:val="none"/>
          <w:u w:val="none"/>
          <w:lang w:val="en-US" w:eastAsia="zh-CN"/>
        </w:rPr>
        <w:t>券申领</w:t>
      </w:r>
      <w:r>
        <w:rPr>
          <w:rFonts w:hint="default" w:ascii="Times New Roman" w:hAnsi="Times New Roman" w:eastAsia="宋体" w:cs="Times New Roman"/>
          <w:b/>
          <w:bCs/>
          <w:sz w:val="36"/>
          <w:szCs w:val="24"/>
          <w:highlight w:val="none"/>
          <w:u w:val="none"/>
        </w:rPr>
        <w:t>机构</w:t>
      </w:r>
    </w:p>
    <w:p w14:paraId="7AACCC7A">
      <w:pPr>
        <w:keepNext w:val="0"/>
        <w:keepLines w:val="0"/>
        <w:pageBreakBefore w:val="0"/>
        <w:kinsoku/>
        <w:wordWrap/>
        <w:overflowPunct/>
        <w:topLinePunct w:val="0"/>
        <w:bidi w:val="0"/>
        <w:spacing w:line="560" w:lineRule="exact"/>
        <w:ind w:left="0" w:firstLine="0" w:firstLineChars="0"/>
        <w:jc w:val="center"/>
        <w:rPr>
          <w:rFonts w:hint="default" w:ascii="Times New Roman" w:hAnsi="Times New Roman" w:eastAsia="宋体" w:cs="Times New Roman"/>
          <w:b/>
          <w:bCs/>
          <w:sz w:val="36"/>
          <w:szCs w:val="24"/>
          <w:highlight w:val="none"/>
          <w:u w:val="none"/>
          <w:lang w:val="en-US" w:eastAsia="zh-CN"/>
        </w:rPr>
      </w:pPr>
      <w:r>
        <w:rPr>
          <w:rFonts w:hint="default" w:ascii="Times New Roman" w:hAnsi="Times New Roman" w:eastAsia="宋体" w:cs="Times New Roman"/>
          <w:b/>
          <w:bCs/>
          <w:sz w:val="36"/>
          <w:szCs w:val="24"/>
          <w:highlight w:val="none"/>
          <w:u w:val="none"/>
          <w:lang w:val="en-US" w:eastAsia="zh-CN"/>
        </w:rPr>
        <w:t>申</w:t>
      </w:r>
      <w:r>
        <w:rPr>
          <w:rFonts w:hint="default" w:ascii="Times New Roman" w:hAnsi="Times New Roman" w:eastAsia="宋体" w:cs="Times New Roman"/>
          <w:b/>
          <w:bCs/>
          <w:sz w:val="36"/>
          <w:szCs w:val="24"/>
          <w:highlight w:val="none"/>
          <w:u w:val="none"/>
          <w:lang w:val="en-US" w:eastAsia="zh-CN"/>
        </w:rPr>
        <w:t>报书</w:t>
      </w:r>
    </w:p>
    <w:tbl>
      <w:tblPr>
        <w:tblStyle w:val="10"/>
        <w:tblpPr w:leftFromText="180" w:rightFromText="180" w:vertAnchor="text" w:horzAnchor="page" w:tblpX="1597" w:tblpY="262"/>
        <w:tblOverlap w:val="never"/>
        <w:tblW w:w="9000" w:type="dxa"/>
        <w:tblInd w:w="0" w:type="dxa"/>
        <w:tblLayout w:type="fixed"/>
        <w:tblCellMar>
          <w:top w:w="0" w:type="dxa"/>
          <w:left w:w="99" w:type="dxa"/>
          <w:bottom w:w="0" w:type="dxa"/>
          <w:right w:w="99" w:type="dxa"/>
        </w:tblCellMar>
      </w:tblPr>
      <w:tblGrid>
        <w:gridCol w:w="2343"/>
        <w:gridCol w:w="2089"/>
        <w:gridCol w:w="2379"/>
        <w:gridCol w:w="2189"/>
      </w:tblGrid>
      <w:tr w14:paraId="4A5DE6A4">
        <w:tblPrEx>
          <w:tblCellMar>
            <w:top w:w="0" w:type="dxa"/>
            <w:left w:w="99" w:type="dxa"/>
            <w:bottom w:w="0" w:type="dxa"/>
            <w:right w:w="99" w:type="dxa"/>
          </w:tblCellMar>
        </w:tblPrEx>
        <w:trPr>
          <w:wAfter w:w="0" w:type="auto"/>
          <w:trHeight w:val="680" w:hRule="exact"/>
        </w:trPr>
        <w:tc>
          <w:tcPr>
            <w:tcW w:w="900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04FE2">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ascii="Times New Roman" w:hAnsi="Times New Roman" w:eastAsia="黑体" w:cs="Times New Roman"/>
                <w:sz w:val="28"/>
                <w:highlight w:val="none"/>
                <w:u w:val="none"/>
              </w:rPr>
            </w:pPr>
            <w:r>
              <w:rPr>
                <w:rFonts w:hint="default" w:ascii="Times New Roman" w:hAnsi="Times New Roman" w:eastAsia="黑体" w:cs="Times New Roman"/>
                <w:sz w:val="28"/>
                <w:highlight w:val="none"/>
                <w:u w:val="none"/>
              </w:rPr>
              <w:t>一、基本情况</w:t>
            </w:r>
          </w:p>
        </w:tc>
      </w:tr>
      <w:tr w14:paraId="32058A7E">
        <w:tblPrEx>
          <w:tblCellMar>
            <w:top w:w="0" w:type="dxa"/>
            <w:left w:w="99" w:type="dxa"/>
            <w:bottom w:w="0" w:type="dxa"/>
            <w:right w:w="99" w:type="dxa"/>
          </w:tblCellMar>
        </w:tblPrEx>
        <w:trPr>
          <w:wAfter w:w="0" w:type="auto"/>
          <w:trHeight w:val="476"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2B97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lang w:val="en-US" w:eastAsia="zh-CN"/>
              </w:rPr>
              <w:t>机构</w:t>
            </w:r>
            <w:r>
              <w:rPr>
                <w:rFonts w:hint="default" w:ascii="Times New Roman" w:hAnsi="Times New Roman" w:eastAsia="仿宋_GB2312" w:cs="Times New Roman"/>
                <w:sz w:val="24"/>
                <w:highlight w:val="none"/>
                <w:u w:val="none"/>
              </w:rPr>
              <w:t>名称</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EC3D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p>
        </w:tc>
      </w:tr>
      <w:tr w14:paraId="35E63F97">
        <w:tblPrEx>
          <w:tblCellMar>
            <w:top w:w="0" w:type="dxa"/>
            <w:left w:w="99" w:type="dxa"/>
            <w:bottom w:w="0" w:type="dxa"/>
            <w:right w:w="99" w:type="dxa"/>
          </w:tblCellMar>
        </w:tblPrEx>
        <w:trPr>
          <w:wAfter w:w="0" w:type="auto"/>
          <w:trHeight w:val="467"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2A2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注册地址</w:t>
            </w:r>
          </w:p>
        </w:tc>
        <w:tc>
          <w:tcPr>
            <w:tcW w:w="20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74EF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p>
        </w:tc>
        <w:tc>
          <w:tcPr>
            <w:tcW w:w="237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EA0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lang w:eastAsia="zh-CN"/>
              </w:rPr>
              <w:t>成立日期</w:t>
            </w:r>
          </w:p>
        </w:tc>
        <w:tc>
          <w:tcPr>
            <w:tcW w:w="2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D231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p>
        </w:tc>
      </w:tr>
      <w:tr w14:paraId="5459F514">
        <w:tblPrEx>
          <w:tblCellMar>
            <w:top w:w="0" w:type="dxa"/>
            <w:left w:w="99" w:type="dxa"/>
            <w:bottom w:w="0" w:type="dxa"/>
            <w:right w:w="99" w:type="dxa"/>
          </w:tblCellMar>
        </w:tblPrEx>
        <w:trPr>
          <w:wAfter w:w="0" w:type="auto"/>
          <w:trHeight w:val="940"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B3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rPr>
              <w:t>统一社会信用代码</w:t>
            </w:r>
          </w:p>
        </w:tc>
        <w:tc>
          <w:tcPr>
            <w:tcW w:w="2089" w:type="dxa"/>
            <w:tcBorders>
              <w:top w:val="single" w:color="000000"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14:paraId="7F34C2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p>
        </w:tc>
        <w:tc>
          <w:tcPr>
            <w:tcW w:w="2379" w:type="dxa"/>
            <w:tcBorders>
              <w:top w:val="single" w:color="000000" w:sz="4" w:space="0"/>
              <w:left w:val="single" w:color="auto" w:sz="4" w:space="0"/>
              <w:bottom w:val="single" w:color="000000" w:sz="4" w:space="0"/>
              <w:right w:val="single" w:color="000000" w:sz="4" w:space="0"/>
            </w:tcBorders>
            <w:noWrap w:val="0"/>
            <w:tcMar>
              <w:top w:w="0" w:type="dxa"/>
              <w:left w:w="108" w:type="dxa"/>
              <w:bottom w:w="0" w:type="dxa"/>
              <w:right w:w="108" w:type="dxa"/>
            </w:tcMar>
            <w:vAlign w:val="center"/>
          </w:tcPr>
          <w:p w14:paraId="2DE058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rPr>
              <w:t>注册资</w:t>
            </w:r>
            <w:r>
              <w:rPr>
                <w:rFonts w:hint="default" w:ascii="Times New Roman" w:hAnsi="Times New Roman" w:eastAsia="仿宋_GB2312" w:cs="Times New Roman"/>
                <w:sz w:val="24"/>
                <w:highlight w:val="none"/>
                <w:u w:val="none"/>
                <w:lang w:eastAsia="zh-CN"/>
              </w:rPr>
              <w:t>本</w:t>
            </w:r>
          </w:p>
        </w:tc>
        <w:tc>
          <w:tcPr>
            <w:tcW w:w="21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4B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rPr>
            </w:pPr>
          </w:p>
        </w:tc>
      </w:tr>
      <w:tr w14:paraId="024B357B">
        <w:tblPrEx>
          <w:tblCellMar>
            <w:top w:w="0" w:type="dxa"/>
            <w:left w:w="99" w:type="dxa"/>
            <w:bottom w:w="0" w:type="dxa"/>
            <w:right w:w="99" w:type="dxa"/>
          </w:tblCellMar>
        </w:tblPrEx>
        <w:trPr>
          <w:wAfter w:w="0" w:type="auto"/>
          <w:trHeight w:val="499"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68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val="en-US"/>
              </w:rPr>
            </w:pPr>
            <w:r>
              <w:rPr>
                <w:rFonts w:hint="default" w:ascii="Times New Roman" w:hAnsi="Times New Roman" w:eastAsia="仿宋_GB2312" w:cs="Times New Roman"/>
                <w:sz w:val="24"/>
                <w:highlight w:val="none"/>
                <w:u w:val="none"/>
                <w:lang w:val="en-US" w:eastAsia="zh-CN"/>
              </w:rPr>
              <w:t>机构</w:t>
            </w:r>
            <w:r>
              <w:rPr>
                <w:rFonts w:hint="default" w:ascii="Times New Roman" w:hAnsi="Times New Roman" w:eastAsia="仿宋_GB2312" w:cs="Times New Roman"/>
                <w:sz w:val="24"/>
                <w:highlight w:val="none"/>
                <w:u w:val="none"/>
                <w:lang w:val="en-US" w:eastAsia="zh-CN"/>
              </w:rPr>
              <w:t>性质</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B19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highlight w:val="none"/>
                <w:u w:val="none"/>
              </w:rPr>
            </w:pPr>
          </w:p>
        </w:tc>
      </w:tr>
      <w:tr w14:paraId="097C3064">
        <w:tblPrEx>
          <w:tblCellMar>
            <w:top w:w="0" w:type="dxa"/>
            <w:left w:w="99" w:type="dxa"/>
            <w:bottom w:w="0" w:type="dxa"/>
            <w:right w:w="99" w:type="dxa"/>
          </w:tblCellMar>
        </w:tblPrEx>
        <w:trPr>
          <w:wAfter w:w="0" w:type="auto"/>
          <w:trHeight w:val="624" w:hRule="exact"/>
        </w:trPr>
        <w:tc>
          <w:tcPr>
            <w:tcW w:w="900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6A4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黑体" w:cs="Times New Roman"/>
                <w:sz w:val="28"/>
                <w:highlight w:val="none"/>
                <w:u w:val="none"/>
                <w:lang w:val="en-US" w:eastAsia="zh-CN"/>
              </w:rPr>
              <w:t>二、资质要求（该项目为否决项）</w:t>
            </w:r>
          </w:p>
        </w:tc>
      </w:tr>
      <w:tr w14:paraId="5A004B6A">
        <w:tblPrEx>
          <w:tblCellMar>
            <w:top w:w="0" w:type="dxa"/>
            <w:left w:w="99" w:type="dxa"/>
            <w:bottom w:w="0" w:type="dxa"/>
            <w:right w:w="99" w:type="dxa"/>
          </w:tblCellMar>
        </w:tblPrEx>
        <w:trPr>
          <w:wAfter w:w="0" w:type="auto"/>
          <w:trHeight w:val="1025" w:hRule="atLeas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86D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rPr>
              <w:t>经营范围</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362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highlight w:val="none"/>
                <w:u w:val="none"/>
              </w:rPr>
            </w:pPr>
            <w:r>
              <w:rPr>
                <w:rFonts w:hint="default" w:ascii="Times New Roman" w:hAnsi="Times New Roman" w:eastAsia="仿宋_GB2312" w:cs="Times New Roman"/>
                <w:sz w:val="24"/>
                <w:highlight w:val="none"/>
                <w:u w:val="none"/>
                <w:lang w:eastAsia="zh-CN"/>
              </w:rPr>
              <w:t>经营范围是否包括知识产权相关服务</w:t>
            </w:r>
            <w:r>
              <w:rPr>
                <w:rFonts w:hint="default" w:ascii="Times New Roman" w:hAnsi="Times New Roman" w:eastAsia="仿宋_GB2312" w:cs="Times New Roman"/>
                <w:sz w:val="24"/>
                <w:highlight w:val="none"/>
                <w:u w:val="none"/>
                <w:lang w:val="en-US" w:eastAsia="zh-CN"/>
              </w:rPr>
              <w:t xml:space="preserve">  </w:t>
            </w:r>
            <w:r>
              <w:rPr>
                <w:rFonts w:hint="default" w:ascii="Times New Roman" w:hAnsi="Times New Roman" w:eastAsia="微软雅黑"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 xml:space="preserve">是  </w:t>
            </w:r>
            <w:r>
              <w:rPr>
                <w:rFonts w:hint="default" w:ascii="Times New Roman" w:hAnsi="Times New Roman" w:eastAsia="微软雅黑"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否</w:t>
            </w:r>
            <w:r>
              <w:rPr>
                <w:rFonts w:hint="default" w:ascii="Times New Roman" w:hAnsi="Times New Roman" w:eastAsia="仿宋_GB2312" w:cs="Times New Roman"/>
                <w:sz w:val="24"/>
                <w:highlight w:val="none"/>
                <w:u w:val="none"/>
                <w:lang w:eastAsia="zh-CN"/>
              </w:rPr>
              <w:br w:type="textWrapping"/>
            </w:r>
            <w:r>
              <w:rPr>
                <w:rFonts w:hint="default" w:ascii="Times New Roman" w:hAnsi="Times New Roman" w:eastAsia="仿宋_GB2312" w:cs="Times New Roman"/>
                <w:sz w:val="24"/>
                <w:highlight w:val="none"/>
                <w:u w:val="none"/>
              </w:rPr>
              <w:t>（</w:t>
            </w:r>
            <w:r>
              <w:rPr>
                <w:rFonts w:hint="default" w:ascii="Times New Roman" w:hAnsi="Times New Roman" w:eastAsia="仿宋_GB2312" w:cs="Times New Roman"/>
                <w:sz w:val="24"/>
                <w:highlight w:val="none"/>
                <w:u w:val="none"/>
                <w:lang w:eastAsia="zh-CN"/>
              </w:rPr>
              <w:t>提供企业商事登记经营范围查询页面截图</w:t>
            </w:r>
            <w:r>
              <w:rPr>
                <w:rFonts w:hint="default" w:ascii="Times New Roman" w:hAnsi="Times New Roman" w:eastAsia="仿宋_GB2312" w:cs="Times New Roman"/>
                <w:sz w:val="24"/>
                <w:highlight w:val="none"/>
                <w:u w:val="none"/>
              </w:rPr>
              <w:t>）</w:t>
            </w:r>
          </w:p>
        </w:tc>
      </w:tr>
      <w:tr w14:paraId="38146B4B">
        <w:tblPrEx>
          <w:tblCellMar>
            <w:top w:w="0" w:type="dxa"/>
            <w:left w:w="99" w:type="dxa"/>
            <w:bottom w:w="0" w:type="dxa"/>
            <w:right w:w="99" w:type="dxa"/>
          </w:tblCellMar>
        </w:tblPrEx>
        <w:trPr>
          <w:wAfter w:w="0" w:type="auto"/>
          <w:trHeight w:val="625" w:hRule="atLeas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39DB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lang w:eastAsia="zh-CN"/>
              </w:rPr>
              <w:t>守法情况</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86DD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lang w:val="en-US" w:eastAsia="zh-CN"/>
              </w:rPr>
              <w:t>是否</w:t>
            </w:r>
            <w:r>
              <w:rPr>
                <w:rFonts w:hint="default" w:ascii="Times New Roman" w:hAnsi="Times New Roman" w:eastAsia="仿宋_GB2312" w:cs="Times New Roman"/>
                <w:sz w:val="24"/>
                <w:highlight w:val="none"/>
                <w:u w:val="none"/>
                <w:lang w:val="en-US" w:eastAsia="zh-CN"/>
              </w:rPr>
              <w:t>存在</w:t>
            </w:r>
            <w:r>
              <w:rPr>
                <w:rFonts w:hint="default" w:ascii="Times New Roman" w:hAnsi="Times New Roman" w:eastAsia="仿宋_GB2312" w:cs="Times New Roman"/>
                <w:sz w:val="24"/>
                <w:highlight w:val="none"/>
                <w:u w:val="none"/>
                <w:lang w:val="en-US" w:eastAsia="zh-CN"/>
              </w:rPr>
              <w:t>被列入经营异常名录、严重违法失信名单、风险名单及限制服务名单</w:t>
            </w:r>
            <w:r>
              <w:rPr>
                <w:rFonts w:hint="default" w:ascii="Times New Roman" w:hAnsi="Times New Roman" w:eastAsia="仿宋_GB2312" w:cs="Times New Roman"/>
                <w:sz w:val="24"/>
                <w:highlight w:val="none"/>
                <w:u w:val="none"/>
                <w:lang w:val="en-US" w:eastAsia="zh-CN"/>
              </w:rPr>
              <w:t xml:space="preserve">   </w:t>
            </w:r>
            <w:r>
              <w:rPr>
                <w:rFonts w:hint="default" w:ascii="Times New Roman" w:hAnsi="Times New Roman" w:eastAsia="微软雅黑"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 xml:space="preserve">是  </w:t>
            </w:r>
            <w:r>
              <w:rPr>
                <w:rFonts w:hint="default" w:ascii="Times New Roman" w:hAnsi="Times New Roman" w:eastAsia="微软雅黑"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否</w:t>
            </w:r>
            <w:r>
              <w:rPr>
                <w:rFonts w:hint="default" w:ascii="Times New Roman" w:hAnsi="Times New Roman" w:eastAsia="仿宋_GB2312" w:cs="Times New Roman"/>
                <w:sz w:val="24"/>
                <w:highlight w:val="none"/>
                <w:u w:val="none"/>
                <w:lang w:val="en-US" w:eastAsia="zh-CN"/>
              </w:rPr>
              <w:br w:type="textWrapping"/>
            </w:r>
            <w:r>
              <w:rPr>
                <w:rFonts w:hint="default" w:ascii="Times New Roman" w:hAnsi="Times New Roman" w:eastAsia="仿宋_GB2312" w:cs="Times New Roman"/>
                <w:sz w:val="24"/>
                <w:highlight w:val="none"/>
                <w:u w:val="none"/>
                <w:lang w:val="en-US" w:eastAsia="zh-CN"/>
              </w:rPr>
              <w:t>（提供国家企业信用查询平台页面截图）</w:t>
            </w:r>
          </w:p>
        </w:tc>
      </w:tr>
      <w:tr w14:paraId="63830CB8">
        <w:tblPrEx>
          <w:tblCellMar>
            <w:top w:w="0" w:type="dxa"/>
            <w:left w:w="99" w:type="dxa"/>
            <w:bottom w:w="0" w:type="dxa"/>
            <w:right w:w="99" w:type="dxa"/>
          </w:tblCellMar>
        </w:tblPrEx>
        <w:trPr>
          <w:wAfter w:w="0" w:type="auto"/>
          <w:trHeight w:val="407" w:hRule="atLeast"/>
        </w:trPr>
        <w:tc>
          <w:tcPr>
            <w:tcW w:w="900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A7D019">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sz w:val="28"/>
                <w:highlight w:val="none"/>
                <w:u w:val="none"/>
                <w:lang w:eastAsia="zh-CN"/>
              </w:rPr>
            </w:pPr>
            <w:r>
              <w:rPr>
                <w:rFonts w:hint="default" w:ascii="Times New Roman" w:hAnsi="Times New Roman" w:eastAsia="黑体" w:cs="Times New Roman"/>
                <w:sz w:val="28"/>
                <w:highlight w:val="none"/>
                <w:u w:val="none"/>
                <w:lang w:eastAsia="zh-CN"/>
              </w:rPr>
              <w:t>服务能力（专家评审项，</w:t>
            </w:r>
            <w:r>
              <w:rPr>
                <w:rFonts w:hint="default" w:ascii="Times New Roman" w:hAnsi="Times New Roman" w:eastAsia="黑体" w:cs="Times New Roman"/>
                <w:sz w:val="28"/>
                <w:highlight w:val="none"/>
                <w:u w:val="none"/>
                <w:lang w:val="en-US" w:eastAsia="zh-CN"/>
              </w:rPr>
              <w:t>综合评价法</w:t>
            </w:r>
            <w:r>
              <w:rPr>
                <w:rFonts w:hint="default" w:ascii="Times New Roman" w:hAnsi="Times New Roman" w:eastAsia="黑体" w:cs="Times New Roman"/>
                <w:sz w:val="28"/>
                <w:highlight w:val="none"/>
                <w:u w:val="none"/>
                <w:lang w:eastAsia="zh-CN"/>
              </w:rPr>
              <w:t>）</w:t>
            </w:r>
          </w:p>
          <w:p w14:paraId="34CBEFE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sz w:val="28"/>
                <w:highlight w:val="none"/>
                <w:u w:val="none"/>
                <w:lang w:eastAsia="zh-CN"/>
              </w:rPr>
            </w:pPr>
            <w:r>
              <w:rPr>
                <w:rFonts w:hint="default" w:ascii="Times New Roman" w:hAnsi="Times New Roman" w:eastAsia="仿宋_GB2312" w:cs="Times New Roman"/>
                <w:sz w:val="24"/>
                <w:highlight w:val="none"/>
                <w:u w:val="none"/>
                <w:lang w:eastAsia="zh-CN"/>
              </w:rPr>
              <w:t>（从事经营活动不满一年的填写本机构或母公司</w:t>
            </w:r>
            <w:r>
              <w:rPr>
                <w:rFonts w:hint="default" w:ascii="Times New Roman" w:hAnsi="Times New Roman" w:eastAsia="仿宋_GB2312" w:cs="Times New Roman"/>
                <w:sz w:val="24"/>
                <w:highlight w:val="none"/>
                <w:u w:val="none"/>
                <w:lang w:val="en-US" w:eastAsia="zh-CN"/>
              </w:rPr>
              <w:t>相关</w:t>
            </w:r>
            <w:r>
              <w:rPr>
                <w:rFonts w:hint="default" w:ascii="Times New Roman" w:hAnsi="Times New Roman" w:eastAsia="仿宋_GB2312" w:cs="Times New Roman"/>
                <w:sz w:val="24"/>
                <w:highlight w:val="none"/>
                <w:u w:val="none"/>
                <w:lang w:eastAsia="zh-CN"/>
              </w:rPr>
              <w:t>情况）</w:t>
            </w:r>
          </w:p>
        </w:tc>
      </w:tr>
      <w:tr w14:paraId="587ECCCB">
        <w:tblPrEx>
          <w:tblCellMar>
            <w:top w:w="0" w:type="dxa"/>
            <w:left w:w="99" w:type="dxa"/>
            <w:bottom w:w="0" w:type="dxa"/>
            <w:right w:w="99" w:type="dxa"/>
          </w:tblCellMar>
        </w:tblPrEx>
        <w:trPr>
          <w:wAfter w:w="0" w:type="auto"/>
          <w:trHeight w:val="1629"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BC2A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lang w:eastAsia="zh-CN"/>
              </w:rPr>
              <w:t>人力资源能力</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C6D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u w:val="none"/>
              </w:rPr>
            </w:pPr>
            <w:r>
              <w:rPr>
                <w:rFonts w:hint="default" w:ascii="Times New Roman" w:hAnsi="Times New Roman" w:eastAsia="仿宋_GB2312" w:cs="Times New Roman"/>
                <w:sz w:val="24"/>
                <w:highlight w:val="none"/>
                <w:u w:val="none"/>
                <w:lang w:val="en-US" w:eastAsia="zh-CN"/>
              </w:rPr>
              <w:t>1.上一个月缴纳社保人员个数     人；</w:t>
            </w:r>
          </w:p>
          <w:p w14:paraId="4857C7B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2.持有执业</w:t>
            </w:r>
            <w:r>
              <w:rPr>
                <w:rFonts w:hint="default" w:ascii="Times New Roman" w:hAnsi="Times New Roman" w:eastAsia="仿宋_GB2312" w:cs="Times New Roman"/>
                <w:sz w:val="24"/>
                <w:highlight w:val="none"/>
                <w:u w:val="none"/>
              </w:rPr>
              <w:t>资格证书、水平评价类职业资格证书或中、高级职称人员</w:t>
            </w:r>
            <w:r>
              <w:rPr>
                <w:rFonts w:hint="default" w:ascii="Times New Roman" w:hAnsi="Times New Roman" w:eastAsia="仿宋_GB2312" w:cs="Times New Roman"/>
                <w:sz w:val="24"/>
                <w:highlight w:val="none"/>
                <w:u w:val="none"/>
                <w:lang w:val="en-US" w:eastAsia="zh-CN"/>
              </w:rPr>
              <w:t>占缴纳社保人员总数     %。</w:t>
            </w:r>
            <w:r>
              <w:rPr>
                <w:rFonts w:hint="default" w:ascii="Times New Roman" w:hAnsi="Times New Roman" w:eastAsia="仿宋_GB2312" w:cs="Times New Roman"/>
                <w:sz w:val="24"/>
                <w:highlight w:val="none"/>
                <w:u w:val="none"/>
                <w:lang w:val="en-US" w:eastAsia="zh-CN"/>
              </w:rPr>
              <w:br w:type="textWrapping"/>
            </w:r>
            <w:r>
              <w:rPr>
                <w:rFonts w:hint="default" w:ascii="Times New Roman" w:hAnsi="Times New Roman" w:eastAsia="仿宋_GB2312" w:cs="Times New Roman"/>
                <w:sz w:val="24"/>
                <w:highlight w:val="none"/>
                <w:u w:val="none"/>
                <w:lang w:val="en-US" w:eastAsia="zh-CN"/>
              </w:rPr>
              <w:t>（提交申报企业近2个月的社保缴纳记录，和相关人员的证书复印件）</w:t>
            </w:r>
          </w:p>
        </w:tc>
      </w:tr>
      <w:tr w14:paraId="604B8A60">
        <w:tblPrEx>
          <w:tblCellMar>
            <w:top w:w="0" w:type="dxa"/>
            <w:left w:w="99" w:type="dxa"/>
            <w:bottom w:w="0" w:type="dxa"/>
            <w:right w:w="99" w:type="dxa"/>
          </w:tblCellMar>
        </w:tblPrEx>
        <w:trPr>
          <w:wAfter w:w="0" w:type="auto"/>
          <w:trHeight w:val="4038"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FC66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lang w:eastAsia="zh-CN"/>
              </w:rPr>
              <w:t>客户服务能力</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FEE27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val="en-US" w:eastAsia="zh-CN"/>
              </w:rPr>
              <w:t>1.2024年</w:t>
            </w:r>
            <w:r>
              <w:rPr>
                <w:rFonts w:hint="default" w:ascii="Times New Roman" w:hAnsi="Times New Roman" w:eastAsia="仿宋_GB2312" w:cs="Times New Roman"/>
                <w:sz w:val="24"/>
                <w:highlight w:val="none"/>
                <w:u w:val="none"/>
              </w:rPr>
              <w:t>营业收入</w:t>
            </w:r>
            <w:r>
              <w:rPr>
                <w:rFonts w:hint="default" w:ascii="Times New Roman" w:hAnsi="Times New Roman" w:eastAsia="仿宋_GB2312" w:cs="Times New Roman"/>
                <w:sz w:val="24"/>
                <w:highlight w:val="none"/>
                <w:u w:val="none"/>
                <w:lang w:val="en-US" w:eastAsia="zh-CN"/>
              </w:rPr>
              <w:t xml:space="preserve">     </w:t>
            </w:r>
            <w:r>
              <w:rPr>
                <w:rFonts w:hint="default" w:ascii="Times New Roman" w:hAnsi="Times New Roman" w:eastAsia="仿宋_GB2312" w:cs="Times New Roman"/>
                <w:sz w:val="24"/>
                <w:highlight w:val="none"/>
                <w:u w:val="none"/>
              </w:rPr>
              <w:t>（万元）</w:t>
            </w:r>
            <w:r>
              <w:rPr>
                <w:rFonts w:hint="default" w:ascii="Times New Roman" w:hAnsi="Times New Roman" w:eastAsia="仿宋_GB2312" w:cs="Times New Roman"/>
                <w:sz w:val="24"/>
                <w:highlight w:val="none"/>
                <w:u w:val="none"/>
                <w:lang w:eastAsia="zh-CN"/>
              </w:rPr>
              <w:t>，其中涉及</w:t>
            </w:r>
            <w:r>
              <w:rPr>
                <w:rFonts w:hint="default" w:ascii="Times New Roman" w:hAnsi="Times New Roman" w:eastAsia="仿宋_GB2312" w:cs="Times New Roman"/>
                <w:sz w:val="24"/>
                <w:highlight w:val="none"/>
                <w:u w:val="none"/>
                <w:lang w:val="en-US" w:eastAsia="zh-CN"/>
              </w:rPr>
              <w:t xml:space="preserve">本区知识产权服务的营业收入     </w:t>
            </w:r>
            <w:r>
              <w:rPr>
                <w:rFonts w:hint="default" w:ascii="Times New Roman" w:hAnsi="Times New Roman" w:eastAsia="仿宋_GB2312" w:cs="Times New Roman"/>
                <w:sz w:val="24"/>
                <w:highlight w:val="none"/>
                <w:u w:val="none"/>
              </w:rPr>
              <w:t>（万元）</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val="en-US" w:eastAsia="zh-CN"/>
              </w:rPr>
              <w:t>预计2025年营业收入    （万元）。</w:t>
            </w:r>
            <w:r>
              <w:rPr>
                <w:rFonts w:hint="default" w:ascii="Times New Roman" w:hAnsi="Times New Roman" w:eastAsia="仿宋_GB2312" w:cs="Times New Roman"/>
                <w:sz w:val="24"/>
                <w:highlight w:val="none"/>
                <w:u w:val="none"/>
                <w:lang w:val="en-US" w:eastAsia="zh-CN"/>
              </w:rPr>
              <w:br w:type="textWrapping"/>
            </w:r>
            <w:r>
              <w:rPr>
                <w:rFonts w:hint="default" w:ascii="Times New Roman" w:hAnsi="Times New Roman" w:eastAsia="仿宋_GB2312" w:cs="Times New Roman"/>
                <w:sz w:val="24"/>
                <w:highlight w:val="none"/>
                <w:u w:val="none"/>
                <w:lang w:val="en-US" w:eastAsia="zh-CN"/>
              </w:rPr>
              <w:t>2.2024年服务客户类型：大型企业   家，中型企业   家，小微型企业   家。其中，广州市企业    家，黄埔区企业    家。</w:t>
            </w:r>
          </w:p>
          <w:p w14:paraId="0F546785">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lang w:eastAsia="zh-CN"/>
              </w:rPr>
              <w:t>申报</w:t>
            </w:r>
            <w:r>
              <w:rPr>
                <w:rFonts w:hint="default" w:ascii="Times New Roman" w:hAnsi="Times New Roman" w:eastAsia="仿宋_GB2312" w:cs="Times New Roman"/>
                <w:sz w:val="24"/>
                <w:highlight w:val="none"/>
                <w:u w:val="none"/>
              </w:rPr>
              <w:t>单位代理或服务专利申请获得中国专利奖、广东省专利奖、粤港澳大湾区高价值专利培育布局大赛</w:t>
            </w:r>
            <w:r>
              <w:rPr>
                <w:rFonts w:hint="default" w:ascii="Times New Roman" w:hAnsi="Times New Roman" w:eastAsia="仿宋_GB2312" w:cs="Times New Roman"/>
                <w:sz w:val="24"/>
                <w:highlight w:val="none"/>
                <w:u w:val="none"/>
                <w:lang w:val="en-US" w:eastAsia="zh-CN"/>
              </w:rPr>
              <w:t>奖项</w:t>
            </w:r>
            <w:r>
              <w:rPr>
                <w:rFonts w:hint="default" w:ascii="Times New Roman" w:hAnsi="Times New Roman" w:eastAsia="仿宋_GB2312" w:cs="Times New Roman"/>
                <w:sz w:val="24"/>
                <w:highlight w:val="none"/>
                <w:u w:val="none"/>
              </w:rPr>
              <w:t>情况及承接政府项目情况</w:t>
            </w:r>
            <w:r>
              <w:rPr>
                <w:rFonts w:hint="default" w:ascii="Times New Roman" w:hAnsi="Times New Roman" w:eastAsia="仿宋_GB2312" w:cs="Times New Roman"/>
                <w:sz w:val="24"/>
                <w:highlight w:val="none"/>
                <w:u w:val="none"/>
                <w:lang w:eastAsia="zh-CN"/>
              </w:rPr>
              <w:t>。</w:t>
            </w:r>
          </w:p>
          <w:p w14:paraId="5BAE8D7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提供相关佐证材料</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涉及商业秘密部分请自行隐去</w:t>
            </w:r>
            <w:r>
              <w:rPr>
                <w:rFonts w:hint="default" w:ascii="Times New Roman" w:hAnsi="Times New Roman" w:eastAsia="仿宋_GB2312" w:cs="Times New Roman"/>
                <w:kern w:val="0"/>
                <w:sz w:val="24"/>
                <w:szCs w:val="22"/>
                <w:highlight w:val="none"/>
                <w:u w:val="none"/>
                <w:lang w:val="en-US" w:eastAsia="zh-CN"/>
              </w:rPr>
              <w:t>。</w:t>
            </w:r>
            <w:r>
              <w:rPr>
                <w:rFonts w:hint="default" w:ascii="Times New Roman" w:hAnsi="Times New Roman" w:eastAsia="仿宋_GB2312" w:cs="Times New Roman"/>
                <w:sz w:val="24"/>
                <w:highlight w:val="none"/>
                <w:u w:val="none"/>
              </w:rPr>
              <w:t>另附页</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eastAsia="zh-CN"/>
              </w:rPr>
              <w:t>第</w:t>
            </w:r>
            <w:r>
              <w:rPr>
                <w:rFonts w:hint="default" w:ascii="Times New Roman" w:hAnsi="Times New Roman" w:eastAsia="仿宋_GB2312" w:cs="Times New Roman"/>
                <w:sz w:val="24"/>
                <w:highlight w:val="none"/>
                <w:u w:val="none"/>
                <w:lang w:val="en-US" w:eastAsia="zh-CN"/>
              </w:rPr>
              <w:t>1、2项提供企业财务报表、2024年开展本区知识产权服务的相关合同、发票、服务客户类型统计表及相关客户名单等；第3项另附页。）</w:t>
            </w:r>
          </w:p>
        </w:tc>
      </w:tr>
      <w:tr w14:paraId="4A6AF826">
        <w:tblPrEx>
          <w:tblCellMar>
            <w:top w:w="0" w:type="dxa"/>
            <w:left w:w="99" w:type="dxa"/>
            <w:bottom w:w="0" w:type="dxa"/>
            <w:right w:w="99" w:type="dxa"/>
          </w:tblCellMar>
        </w:tblPrEx>
        <w:trPr>
          <w:wAfter w:w="0" w:type="auto"/>
          <w:trHeight w:val="2869" w:hRule="exac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CE1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lang w:eastAsia="zh-CN"/>
              </w:rPr>
              <w:t>专业水平能力</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1722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_GB2312" w:cs="Times New Roman"/>
                <w:sz w:val="24"/>
                <w:highlight w:val="none"/>
                <w:u w:val="none"/>
                <w:lang w:eastAsia="zh-CN"/>
              </w:rPr>
            </w:pPr>
            <w:r>
              <w:rPr>
                <w:rFonts w:hint="default" w:ascii="Times New Roman" w:hAnsi="Times New Roman" w:eastAsia="仿宋_GB2312" w:cs="Times New Roman"/>
                <w:sz w:val="24"/>
                <w:highlight w:val="none"/>
                <w:u w:val="none"/>
              </w:rPr>
              <w:t>获评区级以上行政、司法部门或行业组织评定的资质、颁发的奖项或典型案例情况及各级知识产权领军人才、拔尖人才等高层次人才数量。含获评全国知识产权品牌服务机构、中华全国专利代理师协会专利代理机构等级认定、中华商标协会商标代理机构等级认定、各级知识产权服务业分级分类等级认定、各级知识产权公共服务网点、TISC等</w:t>
            </w:r>
            <w:r>
              <w:rPr>
                <w:rFonts w:hint="default" w:ascii="Times New Roman" w:hAnsi="Times New Roman" w:eastAsia="仿宋_GB2312" w:cs="Times New Roman"/>
                <w:sz w:val="24"/>
                <w:highlight w:val="none"/>
                <w:u w:val="none"/>
                <w:lang w:eastAsia="zh-CN"/>
              </w:rPr>
              <w:t>。</w:t>
            </w:r>
          </w:p>
          <w:p w14:paraId="18C92D9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提供相关佐证材料，</w:t>
            </w:r>
            <w:r>
              <w:rPr>
                <w:rFonts w:hint="default" w:ascii="Times New Roman" w:hAnsi="Times New Roman" w:eastAsia="仿宋_GB2312" w:cs="Times New Roman"/>
                <w:sz w:val="24"/>
                <w:highlight w:val="none"/>
                <w:u w:val="none"/>
              </w:rPr>
              <w:t>涉及商业秘密部分请自行隐去。另附页</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eastAsia="zh-CN"/>
              </w:rPr>
              <w:t>）</w:t>
            </w:r>
          </w:p>
        </w:tc>
      </w:tr>
      <w:tr w14:paraId="30AF3F05">
        <w:tblPrEx>
          <w:tblCellMar>
            <w:top w:w="0" w:type="dxa"/>
            <w:left w:w="99" w:type="dxa"/>
            <w:bottom w:w="0" w:type="dxa"/>
            <w:right w:w="99" w:type="dxa"/>
          </w:tblCellMar>
        </w:tblPrEx>
        <w:trPr>
          <w:wAfter w:w="0" w:type="auto"/>
          <w:trHeight w:val="689" w:hRule="atLeast"/>
        </w:trPr>
        <w:tc>
          <w:tcPr>
            <w:tcW w:w="900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17B5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highlight w:val="none"/>
                <w:u w:val="none"/>
              </w:rPr>
            </w:pPr>
            <w:r>
              <w:rPr>
                <w:rFonts w:hint="default" w:ascii="Times New Roman" w:hAnsi="Times New Roman" w:eastAsia="黑体" w:cs="Times New Roman"/>
                <w:b w:val="0"/>
                <w:sz w:val="28"/>
                <w:highlight w:val="none"/>
                <w:u w:val="none"/>
                <w:lang w:eastAsia="zh-CN"/>
              </w:rPr>
              <w:t>四、</w:t>
            </w:r>
            <w:r>
              <w:rPr>
                <w:rFonts w:hint="default" w:ascii="Times New Roman" w:hAnsi="Times New Roman" w:eastAsia="黑体" w:cs="Times New Roman"/>
                <w:sz w:val="28"/>
                <w:szCs w:val="22"/>
                <w:highlight w:val="none"/>
                <w:u w:val="none"/>
                <w:lang w:eastAsia="zh-CN"/>
              </w:rPr>
              <w:t>方案可行性</w:t>
            </w:r>
            <w:r>
              <w:rPr>
                <w:rFonts w:hint="default" w:ascii="Times New Roman" w:hAnsi="Times New Roman" w:eastAsia="黑体" w:cs="Times New Roman"/>
                <w:sz w:val="28"/>
                <w:highlight w:val="none"/>
                <w:u w:val="none"/>
                <w:lang w:eastAsia="zh-CN"/>
              </w:rPr>
              <w:t>（专家评审项，综合评价法）</w:t>
            </w:r>
          </w:p>
        </w:tc>
      </w:tr>
      <w:tr w14:paraId="19FE8403">
        <w:tblPrEx>
          <w:tblCellMar>
            <w:top w:w="0" w:type="dxa"/>
            <w:left w:w="99" w:type="dxa"/>
            <w:bottom w:w="0" w:type="dxa"/>
            <w:right w:w="99" w:type="dxa"/>
          </w:tblCellMar>
        </w:tblPrEx>
        <w:trPr>
          <w:wAfter w:w="0" w:type="auto"/>
          <w:trHeight w:val="1834" w:hRule="atLeas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942C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2"/>
                <w:highlight w:val="none"/>
                <w:u w:val="none"/>
                <w:lang w:eastAsia="zh-CN"/>
              </w:rPr>
            </w:pPr>
            <w:r>
              <w:rPr>
                <w:rFonts w:hint="default" w:ascii="Times New Roman" w:hAnsi="Times New Roman" w:eastAsia="仿宋_GB2312" w:cs="Times New Roman"/>
                <w:sz w:val="24"/>
                <w:szCs w:val="22"/>
                <w:highlight w:val="none"/>
                <w:u w:val="none"/>
                <w:lang w:eastAsia="zh-CN"/>
              </w:rPr>
              <w:t>目标</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18F0C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2"/>
                <w:highlight w:val="none"/>
                <w:u w:val="none"/>
                <w:lang w:eastAsia="zh-CN"/>
              </w:rPr>
            </w:pPr>
            <w:r>
              <w:rPr>
                <w:rFonts w:hint="default" w:ascii="Times New Roman" w:hAnsi="Times New Roman" w:eastAsia="仿宋_GB2312" w:cs="Times New Roman"/>
                <w:sz w:val="24"/>
                <w:highlight w:val="none"/>
                <w:u w:val="none"/>
                <w:lang w:val="en-US" w:eastAsia="zh-CN"/>
              </w:rPr>
              <w:t>服务券发放实施满一年后在</w:t>
            </w:r>
            <w:r>
              <w:rPr>
                <w:rFonts w:hint="default" w:ascii="Times New Roman" w:hAnsi="Times New Roman" w:eastAsia="仿宋_GB2312" w:cs="Times New Roman"/>
                <w:sz w:val="24"/>
                <w:highlight w:val="none"/>
                <w:u w:val="none"/>
                <w:lang w:val="en-US" w:eastAsia="zh-CN"/>
              </w:rPr>
              <w:t>广州开发区 广州市黄埔区</w:t>
            </w:r>
            <w:r>
              <w:rPr>
                <w:rFonts w:hint="default" w:ascii="Times New Roman" w:hAnsi="Times New Roman" w:eastAsia="仿宋_GB2312" w:cs="Times New Roman"/>
                <w:sz w:val="24"/>
                <w:highlight w:val="none"/>
                <w:u w:val="none"/>
                <w:lang w:val="en-US" w:eastAsia="zh-CN"/>
              </w:rPr>
              <w:t>预期</w:t>
            </w:r>
            <w:r>
              <w:rPr>
                <w:rFonts w:hint="default" w:ascii="Times New Roman" w:hAnsi="Times New Roman" w:eastAsia="仿宋_GB2312" w:cs="Times New Roman"/>
                <w:sz w:val="24"/>
                <w:highlight w:val="none"/>
                <w:u w:val="none"/>
              </w:rPr>
              <w:t>实现的经济、社会和品牌效益</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val="en-US" w:eastAsia="zh-CN"/>
              </w:rPr>
              <w:t>包括目标营业收入及申请服务券额度使用情况，需在该部分明确本企业申请的额度和目标服务企业数量。</w:t>
            </w:r>
            <w:r>
              <w:rPr>
                <w:rFonts w:hint="default" w:ascii="Times New Roman" w:hAnsi="Times New Roman" w:eastAsia="仿宋_GB2312" w:cs="Times New Roman"/>
                <w:sz w:val="24"/>
                <w:highlight w:val="none"/>
                <w:u w:val="none"/>
              </w:rPr>
              <w:t>另附页</w:t>
            </w:r>
            <w:r>
              <w:rPr>
                <w:rFonts w:hint="default" w:ascii="Times New Roman" w:hAnsi="Times New Roman" w:eastAsia="仿宋_GB2312" w:cs="Times New Roman"/>
                <w:sz w:val="24"/>
                <w:highlight w:val="none"/>
                <w:u w:val="none"/>
                <w:lang w:eastAsia="zh-CN"/>
              </w:rPr>
              <w:t>。</w:t>
            </w:r>
          </w:p>
        </w:tc>
      </w:tr>
      <w:tr w14:paraId="5EB8E22A">
        <w:tblPrEx>
          <w:tblCellMar>
            <w:top w:w="0" w:type="dxa"/>
            <w:left w:w="99" w:type="dxa"/>
            <w:bottom w:w="0" w:type="dxa"/>
            <w:right w:w="99" w:type="dxa"/>
          </w:tblCellMar>
        </w:tblPrEx>
        <w:trPr>
          <w:wAfter w:w="0" w:type="auto"/>
          <w:trHeight w:val="1213" w:hRule="atLeas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C08B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2"/>
                <w:highlight w:val="none"/>
                <w:u w:val="none"/>
                <w:lang w:eastAsia="zh-CN"/>
              </w:rPr>
            </w:pPr>
            <w:r>
              <w:rPr>
                <w:rFonts w:hint="default" w:ascii="Times New Roman" w:hAnsi="Times New Roman" w:eastAsia="仿宋_GB2312" w:cs="Times New Roman"/>
                <w:sz w:val="24"/>
                <w:szCs w:val="22"/>
                <w:highlight w:val="none"/>
                <w:u w:val="none"/>
                <w:lang w:eastAsia="zh-CN"/>
              </w:rPr>
              <w:t>流程</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8CE83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2"/>
                <w:highlight w:val="none"/>
                <w:u w:val="none"/>
                <w:lang w:eastAsia="zh-CN"/>
              </w:rPr>
            </w:pPr>
            <w:r>
              <w:rPr>
                <w:rFonts w:hint="default" w:ascii="Times New Roman" w:hAnsi="Times New Roman" w:eastAsia="仿宋_GB2312" w:cs="Times New Roman"/>
                <w:sz w:val="24"/>
                <w:highlight w:val="none"/>
                <w:u w:val="none"/>
              </w:rPr>
              <w:t>概述实现目标的具体实施方案，包括具体</w:t>
            </w:r>
            <w:r>
              <w:rPr>
                <w:rFonts w:hint="default" w:ascii="Times New Roman" w:hAnsi="Times New Roman" w:eastAsia="仿宋_GB2312" w:cs="Times New Roman"/>
                <w:sz w:val="24"/>
                <w:highlight w:val="none"/>
                <w:u w:val="none"/>
                <w:lang w:val="en-US" w:eastAsia="zh-CN"/>
              </w:rPr>
              <w:t>工作</w:t>
            </w:r>
            <w:r>
              <w:rPr>
                <w:rFonts w:hint="default" w:ascii="Times New Roman" w:hAnsi="Times New Roman" w:eastAsia="仿宋_GB2312" w:cs="Times New Roman"/>
                <w:sz w:val="24"/>
                <w:highlight w:val="none"/>
                <w:u w:val="none"/>
              </w:rPr>
              <w:t>计划，实施方式，</w:t>
            </w:r>
            <w:r>
              <w:rPr>
                <w:rFonts w:hint="default" w:ascii="Times New Roman" w:hAnsi="Times New Roman" w:eastAsia="仿宋_GB2312" w:cs="Times New Roman"/>
                <w:sz w:val="24"/>
                <w:highlight w:val="none"/>
                <w:u w:val="none"/>
                <w:lang w:eastAsia="zh-CN"/>
              </w:rPr>
              <w:t>预计投入</w:t>
            </w:r>
            <w:r>
              <w:rPr>
                <w:rFonts w:hint="default" w:ascii="Times New Roman" w:hAnsi="Times New Roman" w:eastAsia="仿宋_GB2312" w:cs="Times New Roman"/>
                <w:sz w:val="24"/>
                <w:highlight w:val="none"/>
                <w:u w:val="none"/>
                <w:lang w:val="en-US" w:eastAsia="zh-CN"/>
              </w:rPr>
              <w:t>资源支持</w:t>
            </w:r>
            <w:r>
              <w:rPr>
                <w:rFonts w:hint="default" w:ascii="Times New Roman" w:hAnsi="Times New Roman" w:eastAsia="仿宋_GB2312" w:cs="Times New Roman"/>
                <w:sz w:val="24"/>
                <w:highlight w:val="none"/>
                <w:u w:val="none"/>
              </w:rPr>
              <w:t>等。另附页</w:t>
            </w:r>
            <w:r>
              <w:rPr>
                <w:rFonts w:hint="default" w:ascii="Times New Roman" w:hAnsi="Times New Roman" w:eastAsia="仿宋_GB2312" w:cs="Times New Roman"/>
                <w:sz w:val="24"/>
                <w:highlight w:val="none"/>
                <w:u w:val="none"/>
                <w:lang w:eastAsia="zh-CN"/>
              </w:rPr>
              <w:t>。</w:t>
            </w:r>
          </w:p>
        </w:tc>
      </w:tr>
      <w:tr w14:paraId="42DCB1FD">
        <w:tblPrEx>
          <w:tblCellMar>
            <w:top w:w="0" w:type="dxa"/>
            <w:left w:w="99" w:type="dxa"/>
            <w:bottom w:w="0" w:type="dxa"/>
            <w:right w:w="99" w:type="dxa"/>
          </w:tblCellMar>
        </w:tblPrEx>
        <w:trPr>
          <w:wAfter w:w="0" w:type="auto"/>
          <w:trHeight w:val="1845" w:hRule="atLeas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8E7C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2"/>
                <w:highlight w:val="none"/>
                <w:u w:val="none"/>
                <w:lang w:eastAsia="zh-CN"/>
              </w:rPr>
            </w:pPr>
            <w:r>
              <w:rPr>
                <w:rFonts w:hint="default" w:ascii="Times New Roman" w:hAnsi="Times New Roman" w:eastAsia="仿宋_GB2312" w:cs="Times New Roman"/>
                <w:sz w:val="24"/>
                <w:szCs w:val="22"/>
                <w:highlight w:val="none"/>
                <w:u w:val="none"/>
                <w:lang w:eastAsia="zh-CN"/>
              </w:rPr>
              <w:t>客户</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A489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仿宋_GB2312" w:cs="Times New Roman"/>
                <w:sz w:val="24"/>
                <w:szCs w:val="22"/>
                <w:highlight w:val="none"/>
                <w:u w:val="none"/>
                <w:lang w:eastAsia="zh-CN"/>
              </w:rPr>
            </w:pPr>
            <w:r>
              <w:rPr>
                <w:rFonts w:hint="default" w:ascii="Times New Roman" w:hAnsi="Times New Roman" w:eastAsia="仿宋_GB2312" w:cs="Times New Roman"/>
                <w:sz w:val="24"/>
                <w:szCs w:val="22"/>
                <w:highlight w:val="none"/>
                <w:u w:val="none"/>
                <w:lang w:eastAsia="zh-CN"/>
              </w:rPr>
              <w:t>结合申请额度和</w:t>
            </w:r>
            <w:r>
              <w:rPr>
                <w:rFonts w:hint="default" w:ascii="Times New Roman" w:hAnsi="Times New Roman" w:eastAsia="仿宋_GB2312" w:cs="Times New Roman"/>
                <w:sz w:val="24"/>
                <w:szCs w:val="22"/>
                <w:highlight w:val="none"/>
                <w:u w:val="none"/>
                <w:lang w:val="en-US" w:eastAsia="zh-CN"/>
              </w:rPr>
              <w:t>目标</w:t>
            </w:r>
            <w:r>
              <w:rPr>
                <w:rFonts w:hint="default" w:ascii="Times New Roman" w:hAnsi="Times New Roman" w:eastAsia="仿宋_GB2312" w:cs="Times New Roman"/>
                <w:sz w:val="24"/>
                <w:szCs w:val="22"/>
                <w:highlight w:val="none"/>
                <w:u w:val="none"/>
                <w:lang w:eastAsia="zh-CN"/>
              </w:rPr>
              <w:t>服务企业数量，通过</w:t>
            </w:r>
            <w:r>
              <w:rPr>
                <w:rFonts w:hint="default" w:ascii="Times New Roman" w:hAnsi="Times New Roman" w:eastAsia="仿宋_GB2312" w:cs="Times New Roman"/>
                <w:sz w:val="24"/>
                <w:szCs w:val="22"/>
                <w:highlight w:val="none"/>
                <w:u w:val="none"/>
                <w:lang w:val="en-US" w:eastAsia="zh-CN"/>
              </w:rPr>
              <w:t>2024年</w:t>
            </w:r>
            <w:r>
              <w:rPr>
                <w:rFonts w:hint="default" w:ascii="Times New Roman" w:hAnsi="Times New Roman" w:eastAsia="仿宋_GB2312" w:cs="Times New Roman"/>
                <w:sz w:val="24"/>
                <w:szCs w:val="22"/>
                <w:highlight w:val="none"/>
                <w:u w:val="none"/>
                <w:lang w:eastAsia="zh-CN"/>
              </w:rPr>
              <w:t>在广州开发区</w:t>
            </w:r>
            <w:r>
              <w:rPr>
                <w:rFonts w:hint="default" w:ascii="Times New Roman" w:hAnsi="Times New Roman" w:eastAsia="仿宋_GB2312" w:cs="Times New Roman"/>
                <w:sz w:val="24"/>
                <w:szCs w:val="22"/>
                <w:highlight w:val="none"/>
                <w:u w:val="none"/>
                <w:lang w:val="en-US" w:eastAsia="zh-CN"/>
              </w:rPr>
              <w:t xml:space="preserve"> </w:t>
            </w:r>
            <w:r>
              <w:rPr>
                <w:rFonts w:hint="default" w:ascii="Times New Roman" w:hAnsi="Times New Roman" w:eastAsia="仿宋_GB2312" w:cs="Times New Roman"/>
                <w:sz w:val="24"/>
                <w:szCs w:val="22"/>
                <w:highlight w:val="none"/>
                <w:u w:val="none"/>
                <w:lang w:eastAsia="zh-CN"/>
              </w:rPr>
              <w:t>广州市黄埔区已有</w:t>
            </w:r>
            <w:r>
              <w:rPr>
                <w:rFonts w:hint="default" w:ascii="Times New Roman" w:hAnsi="Times New Roman" w:eastAsia="仿宋_GB2312" w:cs="Times New Roman"/>
                <w:sz w:val="24"/>
                <w:szCs w:val="22"/>
                <w:highlight w:val="none"/>
                <w:u w:val="none"/>
                <w:lang w:val="en-US" w:eastAsia="zh-CN"/>
              </w:rPr>
              <w:t>的</w:t>
            </w:r>
            <w:r>
              <w:rPr>
                <w:rFonts w:hint="default" w:ascii="Times New Roman" w:hAnsi="Times New Roman" w:eastAsia="仿宋_GB2312" w:cs="Times New Roman"/>
                <w:sz w:val="24"/>
                <w:szCs w:val="22"/>
                <w:highlight w:val="none"/>
                <w:u w:val="none"/>
                <w:lang w:eastAsia="zh-CN"/>
              </w:rPr>
              <w:t>企业客户数量和合同金额</w:t>
            </w:r>
            <w:r>
              <w:rPr>
                <w:rFonts w:hint="default" w:ascii="Times New Roman" w:hAnsi="Times New Roman" w:eastAsia="仿宋_GB2312" w:cs="Times New Roman"/>
                <w:sz w:val="24"/>
                <w:szCs w:val="22"/>
                <w:highlight w:val="none"/>
                <w:u w:val="none"/>
                <w:lang w:val="en-US" w:eastAsia="zh-CN"/>
              </w:rPr>
              <w:t>及</w:t>
            </w:r>
            <w:r>
              <w:rPr>
                <w:rFonts w:hint="default" w:ascii="Times New Roman" w:hAnsi="Times New Roman" w:eastAsia="仿宋_GB2312" w:cs="Times New Roman"/>
                <w:sz w:val="24"/>
                <w:szCs w:val="22"/>
                <w:highlight w:val="none"/>
                <w:u w:val="none"/>
                <w:lang w:eastAsia="zh-CN"/>
              </w:rPr>
              <w:t>商洽中企业数量等各种因素分析客户发展的可行性。</w:t>
            </w:r>
            <w:r>
              <w:rPr>
                <w:rFonts w:hint="default" w:ascii="Times New Roman" w:hAnsi="Times New Roman" w:eastAsia="仿宋_GB2312" w:cs="Times New Roman"/>
                <w:sz w:val="24"/>
                <w:highlight w:val="none"/>
                <w:u w:val="none"/>
              </w:rPr>
              <w:t>另附页</w:t>
            </w:r>
            <w:r>
              <w:rPr>
                <w:rFonts w:hint="default" w:ascii="Times New Roman" w:hAnsi="Times New Roman" w:eastAsia="仿宋_GB2312" w:cs="Times New Roman"/>
                <w:sz w:val="24"/>
                <w:highlight w:val="none"/>
                <w:u w:val="none"/>
                <w:lang w:eastAsia="zh-CN"/>
              </w:rPr>
              <w:t>。</w:t>
            </w:r>
          </w:p>
        </w:tc>
      </w:tr>
      <w:tr w14:paraId="2FE5D3DE">
        <w:tblPrEx>
          <w:tblCellMar>
            <w:top w:w="0" w:type="dxa"/>
            <w:left w:w="99" w:type="dxa"/>
            <w:bottom w:w="0" w:type="dxa"/>
            <w:right w:w="99" w:type="dxa"/>
          </w:tblCellMar>
        </w:tblPrEx>
        <w:trPr>
          <w:wAfter w:w="0" w:type="auto"/>
          <w:trHeight w:val="567" w:hRule="atLeast"/>
        </w:trPr>
        <w:tc>
          <w:tcPr>
            <w:tcW w:w="900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5BF0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8"/>
                <w:highlight w:val="none"/>
                <w:u w:val="none"/>
                <w:lang w:val="en-US" w:eastAsia="zh-CN"/>
              </w:rPr>
            </w:pPr>
            <w:r>
              <w:rPr>
                <w:rFonts w:hint="default" w:ascii="Times New Roman" w:hAnsi="Times New Roman" w:eastAsia="黑体" w:cs="Times New Roman"/>
                <w:sz w:val="28"/>
                <w:highlight w:val="none"/>
                <w:u w:val="none"/>
                <w:lang w:val="en-US" w:eastAsia="zh-CN"/>
              </w:rPr>
              <w:t>五、其他情况</w:t>
            </w:r>
            <w:r>
              <w:rPr>
                <w:rFonts w:hint="default" w:ascii="Times New Roman" w:hAnsi="Times New Roman" w:eastAsia="黑体" w:cs="Times New Roman"/>
                <w:sz w:val="28"/>
                <w:highlight w:val="none"/>
                <w:u w:val="none"/>
                <w:lang w:eastAsia="zh-CN"/>
              </w:rPr>
              <w:t>（专家评审项，综合评价法）</w:t>
            </w:r>
          </w:p>
        </w:tc>
      </w:tr>
      <w:tr w14:paraId="168F5CBC">
        <w:tblPrEx>
          <w:tblCellMar>
            <w:top w:w="0" w:type="dxa"/>
            <w:left w:w="99" w:type="dxa"/>
            <w:bottom w:w="0" w:type="dxa"/>
            <w:right w:w="99" w:type="dxa"/>
          </w:tblCellMar>
        </w:tblPrEx>
        <w:trPr>
          <w:wAfter w:w="0" w:type="auto"/>
          <w:trHeight w:val="2841" w:hRule="atLeast"/>
        </w:trPr>
        <w:tc>
          <w:tcPr>
            <w:tcW w:w="23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B67A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2"/>
                <w:highlight w:val="none"/>
                <w:u w:val="none"/>
                <w:lang w:val="en-US" w:eastAsia="zh-CN"/>
              </w:rPr>
            </w:pPr>
            <w:r>
              <w:rPr>
                <w:rFonts w:hint="default" w:ascii="Times New Roman" w:hAnsi="Times New Roman" w:eastAsia="仿宋_GB2312" w:cs="Times New Roman"/>
                <w:sz w:val="24"/>
                <w:szCs w:val="22"/>
                <w:highlight w:val="none"/>
                <w:u w:val="none"/>
                <w:lang w:eastAsia="zh-CN"/>
              </w:rPr>
              <w:t>“两业融合”贡献情况</w:t>
            </w:r>
          </w:p>
        </w:tc>
        <w:tc>
          <w:tcPr>
            <w:tcW w:w="665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AB8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sz w:val="24"/>
                <w:highlight w:val="none"/>
                <w:u w:val="none"/>
                <w:lang w:val="en-US" w:eastAsia="zh-CN"/>
              </w:rPr>
            </w:pPr>
            <w:r>
              <w:rPr>
                <w:rFonts w:hint="default" w:ascii="Times New Roman" w:hAnsi="Times New Roman" w:eastAsia="仿宋_GB2312" w:cs="Times New Roman"/>
                <w:sz w:val="24"/>
                <w:highlight w:val="none"/>
                <w:u w:val="none"/>
                <w:lang w:eastAsia="zh-CN"/>
              </w:rPr>
              <w:t>承诺服务券发放实施后一年内</w:t>
            </w:r>
            <w:r>
              <w:rPr>
                <w:rFonts w:hint="default" w:ascii="Times New Roman" w:hAnsi="Times New Roman" w:eastAsia="仿宋_GB2312" w:cs="Times New Roman"/>
                <w:sz w:val="24"/>
                <w:highlight w:val="none"/>
                <w:u w:val="none"/>
              </w:rPr>
              <w:t>协助广州开发区知识产权局深化生产性服务业与先进制造业“两业融合”加快培育新质生产力</w:t>
            </w:r>
            <w:r>
              <w:rPr>
                <w:rFonts w:hint="default" w:ascii="Times New Roman" w:hAnsi="Times New Roman" w:eastAsia="仿宋_GB2312" w:cs="Times New Roman"/>
                <w:sz w:val="24"/>
                <w:highlight w:val="none"/>
                <w:u w:val="none"/>
                <w:lang w:val="en-US" w:eastAsia="zh-CN"/>
              </w:rPr>
              <w:t>情况</w:t>
            </w:r>
            <w:r>
              <w:rPr>
                <w:rFonts w:hint="default" w:ascii="Times New Roman" w:hAnsi="Times New Roman" w:eastAsia="仿宋_GB2312" w:cs="Times New Roman"/>
                <w:sz w:val="24"/>
                <w:highlight w:val="none"/>
                <w:u w:val="none"/>
                <w:lang w:eastAsia="zh-CN"/>
              </w:rPr>
              <w:t>。</w:t>
            </w:r>
          </w:p>
          <w:p w14:paraId="680D86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sz w:val="28"/>
                <w:highlight w:val="none"/>
                <w:u w:val="none"/>
                <w:lang w:val="en-US" w:eastAsia="zh-CN"/>
              </w:rPr>
            </w:pP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提供相关佐证材料</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rPr>
              <w:t>涉及商业秘密部分请自行隐去</w:t>
            </w:r>
            <w:r>
              <w:rPr>
                <w:rFonts w:hint="default" w:ascii="Times New Roman" w:hAnsi="Times New Roman" w:eastAsia="仿宋_GB2312" w:cs="Times New Roman"/>
                <w:kern w:val="0"/>
                <w:sz w:val="24"/>
                <w:szCs w:val="22"/>
                <w:highlight w:val="none"/>
                <w:u w:val="none"/>
                <w:lang w:val="en-US" w:eastAsia="zh-CN"/>
              </w:rPr>
              <w:t>。</w:t>
            </w:r>
            <w:r>
              <w:rPr>
                <w:rFonts w:hint="default" w:ascii="Times New Roman" w:hAnsi="Times New Roman" w:eastAsia="仿宋_GB2312" w:cs="Times New Roman"/>
                <w:sz w:val="24"/>
                <w:highlight w:val="none"/>
                <w:u w:val="none"/>
              </w:rPr>
              <w:t>另附页</w:t>
            </w:r>
            <w:r>
              <w:rPr>
                <w:rFonts w:hint="default" w:ascii="Times New Roman" w:hAnsi="Times New Roman" w:eastAsia="仿宋_GB2312" w:cs="Times New Roman"/>
                <w:sz w:val="24"/>
                <w:highlight w:val="none"/>
                <w:u w:val="none"/>
                <w:lang w:eastAsia="zh-CN"/>
              </w:rPr>
              <w:t>。</w:t>
            </w:r>
            <w:r>
              <w:rPr>
                <w:rFonts w:hint="default" w:ascii="Times New Roman" w:hAnsi="Times New Roman" w:eastAsia="仿宋_GB2312" w:cs="Times New Roman"/>
                <w:sz w:val="24"/>
                <w:highlight w:val="none"/>
                <w:u w:val="none"/>
                <w:lang w:eastAsia="zh-CN"/>
              </w:rPr>
              <w:t>）</w:t>
            </w:r>
          </w:p>
        </w:tc>
      </w:tr>
    </w:tbl>
    <w:p w14:paraId="69936739">
      <w:pPr>
        <w:pStyle w:val="2"/>
        <w:keepNext w:val="0"/>
        <w:keepLines w:val="0"/>
        <w:pageBreakBefore w:val="0"/>
        <w:kinsoku/>
        <w:wordWrap/>
        <w:overflowPunct/>
        <w:topLinePunct w:val="0"/>
        <w:bidi w:val="0"/>
        <w:spacing w:line="560" w:lineRule="exact"/>
        <w:ind w:left="0" w:leftChars="0" w:firstLine="0" w:firstLineChars="0"/>
        <w:rPr>
          <w:rFonts w:hint="default" w:ascii="Times New Roman" w:hAnsi="Times New Roman" w:cs="Times New Roman"/>
          <w:highlight w:val="none"/>
          <w:u w:val="none"/>
        </w:rPr>
        <w:sectPr>
          <w:headerReference r:id="rId4" w:type="default"/>
          <w:footerReference r:id="rId5" w:type="default"/>
          <w:pgSz w:w="11906" w:h="16838"/>
          <w:pgMar w:top="1417" w:right="1701" w:bottom="1417" w:left="1701"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tbl>
      <w:tblPr>
        <w:tblStyle w:val="10"/>
        <w:tblW w:w="9172" w:type="dxa"/>
        <w:tblInd w:w="-3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2"/>
      </w:tblGrid>
      <w:tr w14:paraId="5B8F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72" w:type="dxa"/>
            <w:tcBorders>
              <w:top w:val="nil"/>
              <w:left w:val="nil"/>
              <w:bottom w:val="nil"/>
              <w:right w:val="nil"/>
            </w:tcBorders>
            <w:noWrap/>
            <w:vAlign w:val="bottom"/>
          </w:tcPr>
          <w:p w14:paraId="07B28E43">
            <w:pPr>
              <w:keepNext w:val="0"/>
              <w:keepLines w:val="0"/>
              <w:pageBreakBefore w:val="0"/>
              <w:kinsoku/>
              <w:wordWrap/>
              <w:overflowPunct/>
              <w:topLinePunct w:val="0"/>
              <w:bidi w:val="0"/>
              <w:spacing w:line="560" w:lineRule="exact"/>
              <w:rPr>
                <w:rFonts w:hint="default"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lang w:val="en-US" w:eastAsia="zh-CN"/>
              </w:rPr>
              <w:t>附件2-1</w:t>
            </w:r>
          </w:p>
          <w:p w14:paraId="3176CD7F">
            <w:pPr>
              <w:pStyle w:val="6"/>
              <w:rPr>
                <w:rFonts w:hint="default" w:ascii="Times New Roman" w:hAnsi="Times New Roman" w:cs="Times New Roman"/>
                <w:lang w:val="en-US" w:eastAsia="zh-CN"/>
              </w:rPr>
            </w:pPr>
          </w:p>
          <w:tbl>
            <w:tblPr>
              <w:tblStyle w:val="10"/>
              <w:tblW w:w="8640"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703"/>
              <w:gridCol w:w="6604"/>
            </w:tblGrid>
            <w:tr w14:paraId="62B18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8640" w:type="dxa"/>
                  <w:gridSpan w:val="3"/>
                  <w:tcBorders>
                    <w:tl2br w:val="nil"/>
                    <w:tr2bl w:val="nil"/>
                  </w:tcBorders>
                  <w:noWrap/>
                  <w:vAlign w:val="center"/>
                </w:tcPr>
                <w:p w14:paraId="694B0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广州开发区 广州市黄埔区知识产权服务券申领机构遴选指标</w:t>
                  </w:r>
                </w:p>
                <w:p w14:paraId="030603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（从事经营活动满一年）</w:t>
                  </w:r>
                </w:p>
              </w:tc>
            </w:tr>
            <w:tr w14:paraId="4639B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8640" w:type="dxa"/>
                  <w:gridSpan w:val="3"/>
                  <w:tcBorders>
                    <w:tl2br w:val="nil"/>
                    <w:tr2bl w:val="nil"/>
                  </w:tcBorders>
                  <w:noWrap/>
                  <w:vAlign w:val="center"/>
                </w:tcPr>
                <w:p w14:paraId="69F587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w:t>
                  </w:r>
                </w:p>
              </w:tc>
            </w:tr>
            <w:tr w14:paraId="6A495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333" w:type="dxa"/>
                  <w:tcBorders>
                    <w:tl2br w:val="nil"/>
                    <w:tr2bl w:val="nil"/>
                  </w:tcBorders>
                  <w:noWrap w:val="0"/>
                  <w:vAlign w:val="center"/>
                </w:tcPr>
                <w:p w14:paraId="62B29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大类指标</w:t>
                  </w:r>
                </w:p>
              </w:tc>
              <w:tc>
                <w:tcPr>
                  <w:tcW w:w="703" w:type="dxa"/>
                  <w:tcBorders>
                    <w:tl2br w:val="nil"/>
                    <w:tr2bl w:val="nil"/>
                  </w:tcBorders>
                  <w:noWrap w:val="0"/>
                  <w:vAlign w:val="center"/>
                </w:tcPr>
                <w:p w14:paraId="5B675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小类指标</w:t>
                  </w:r>
                </w:p>
              </w:tc>
              <w:tc>
                <w:tcPr>
                  <w:tcW w:w="6604" w:type="dxa"/>
                  <w:tcBorders>
                    <w:tl2br w:val="nil"/>
                    <w:tr2bl w:val="nil"/>
                  </w:tcBorders>
                  <w:noWrap/>
                  <w:vAlign w:val="center"/>
                </w:tcPr>
                <w:p w14:paraId="09995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具体内容</w:t>
                  </w:r>
                </w:p>
              </w:tc>
            </w:tr>
            <w:tr w14:paraId="30559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333" w:type="dxa"/>
                  <w:vMerge w:val="restart"/>
                  <w:tcBorders>
                    <w:tl2br w:val="nil"/>
                    <w:tr2bl w:val="nil"/>
                  </w:tcBorders>
                  <w:noWrap w:val="0"/>
                  <w:vAlign w:val="center"/>
                </w:tcPr>
                <w:p w14:paraId="3A9B90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机构自身能力</w:t>
                  </w:r>
                </w:p>
              </w:tc>
              <w:tc>
                <w:tcPr>
                  <w:tcW w:w="703" w:type="dxa"/>
                  <w:tcBorders>
                    <w:tl2br w:val="nil"/>
                    <w:tr2bl w:val="nil"/>
                  </w:tcBorders>
                  <w:noWrap w:val="0"/>
                  <w:vAlign w:val="center"/>
                </w:tcPr>
                <w:p w14:paraId="69881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员工人数</w:t>
                  </w:r>
                </w:p>
              </w:tc>
              <w:tc>
                <w:tcPr>
                  <w:tcW w:w="6604" w:type="dxa"/>
                  <w:tcBorders>
                    <w:tl2br w:val="nil"/>
                    <w:tr2bl w:val="nil"/>
                  </w:tcBorders>
                  <w:noWrap/>
                  <w:vAlign w:val="center"/>
                </w:tcPr>
                <w:p w14:paraId="16407C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申报前一个月缴纳社保的员工数量。</w:t>
                  </w:r>
                </w:p>
              </w:tc>
            </w:tr>
            <w:tr w14:paraId="719A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1333" w:type="dxa"/>
                  <w:vMerge w:val="continue"/>
                  <w:tcBorders>
                    <w:tl2br w:val="nil"/>
                    <w:tr2bl w:val="nil"/>
                  </w:tcBorders>
                  <w:noWrap w:val="0"/>
                  <w:vAlign w:val="center"/>
                </w:tcPr>
                <w:p w14:paraId="61BB2A9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703" w:type="dxa"/>
                  <w:tcBorders>
                    <w:tl2br w:val="nil"/>
                    <w:tr2bl w:val="nil"/>
                  </w:tcBorders>
                  <w:noWrap w:val="0"/>
                  <w:vAlign w:val="center"/>
                </w:tcPr>
                <w:p w14:paraId="6E531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专业比例</w:t>
                  </w:r>
                </w:p>
              </w:tc>
              <w:tc>
                <w:tcPr>
                  <w:tcW w:w="6604" w:type="dxa"/>
                  <w:tcBorders>
                    <w:tl2br w:val="nil"/>
                    <w:tr2bl w:val="nil"/>
                  </w:tcBorders>
                  <w:noWrap/>
                  <w:vAlign w:val="center"/>
                </w:tcPr>
                <w:p w14:paraId="2D5A88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持有执业资格证书、水平评价类职业资格证书或中、高级职称人员占员工比例情况，同一人员持有多种证书或拥有多种职称不重复计算。</w:t>
                  </w:r>
                </w:p>
              </w:tc>
            </w:tr>
            <w:tr w14:paraId="79F9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1" w:hRule="atLeast"/>
              </w:trPr>
              <w:tc>
                <w:tcPr>
                  <w:tcW w:w="1333" w:type="dxa"/>
                  <w:vMerge w:val="restart"/>
                  <w:tcBorders>
                    <w:tl2br w:val="nil"/>
                    <w:tr2bl w:val="nil"/>
                  </w:tcBorders>
                  <w:noWrap w:val="0"/>
                  <w:vAlign w:val="center"/>
                </w:tcPr>
                <w:p w14:paraId="4A30C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行业影响力</w:t>
                  </w:r>
                </w:p>
              </w:tc>
              <w:tc>
                <w:tcPr>
                  <w:tcW w:w="703" w:type="dxa"/>
                  <w:tcBorders>
                    <w:tl2br w:val="nil"/>
                    <w:tr2bl w:val="nil"/>
                  </w:tcBorders>
                  <w:noWrap w:val="0"/>
                  <w:vAlign w:val="center"/>
                </w:tcPr>
                <w:p w14:paraId="5DD372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上级荣誉</w:t>
                  </w:r>
                </w:p>
              </w:tc>
              <w:tc>
                <w:tcPr>
                  <w:tcW w:w="6604" w:type="dxa"/>
                  <w:tcBorders>
                    <w:tl2br w:val="nil"/>
                    <w:tr2bl w:val="nil"/>
                  </w:tcBorders>
                  <w:noWrap/>
                  <w:vAlign w:val="center"/>
                </w:tcPr>
                <w:p w14:paraId="20C440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color w:val="000000"/>
                      <w:kern w:val="0"/>
                      <w:sz w:val="22"/>
                      <w:highlight w:val="none"/>
                      <w:u w:val="none"/>
                      <w:lang w:bidi="ar"/>
                    </w:rPr>
                    <w:t>获评区级以上行政、司法部门或行业组织评定的资质、颁发的奖项或典型案例情况及各级知识产权领军人才、拔尖人才等高层次人才数量。</w:t>
                  </w:r>
                  <w:r>
                    <w:rPr>
                      <w:rFonts w:hint="default" w:ascii="Times New Roman" w:hAnsi="Times New Roman" w:eastAsia="仿宋_GB2312" w:cs="Times New Roman"/>
                      <w:i w:val="0"/>
                      <w:iCs w:val="0"/>
                      <w:color w:val="000000"/>
                      <w:kern w:val="0"/>
                      <w:sz w:val="22"/>
                      <w:szCs w:val="22"/>
                      <w:highlight w:val="none"/>
                      <w:u w:val="none"/>
                      <w:lang w:val="en-US" w:eastAsia="zh-CN" w:bidi="ar"/>
                    </w:rPr>
                    <w:t>含获评全国知识产权品牌服务机构、</w:t>
                  </w:r>
                  <w:r>
                    <w:rPr>
                      <w:rFonts w:hint="default" w:ascii="Times New Roman" w:hAnsi="Times New Roman" w:eastAsia="仿宋_GB2312" w:cs="Times New Roman"/>
                      <w:color w:val="000000"/>
                      <w:kern w:val="0"/>
                      <w:sz w:val="22"/>
                      <w:highlight w:val="none"/>
                      <w:u w:val="none"/>
                      <w:lang w:bidi="ar"/>
                    </w:rPr>
                    <w:t>中华全国专利代理师协会专利代理机构</w:t>
                  </w:r>
                  <w:r>
                    <w:rPr>
                      <w:rFonts w:hint="default" w:ascii="Times New Roman" w:hAnsi="Times New Roman" w:eastAsia="仿宋_GB2312" w:cs="Times New Roman"/>
                      <w:color w:val="000000"/>
                      <w:kern w:val="0"/>
                      <w:sz w:val="22"/>
                      <w:highlight w:val="none"/>
                      <w:u w:val="none"/>
                      <w:lang w:val="en-US" w:eastAsia="zh-CN" w:bidi="ar"/>
                    </w:rPr>
                    <w:t>等级认定</w:t>
                  </w:r>
                  <w:r>
                    <w:rPr>
                      <w:rFonts w:hint="default" w:ascii="Times New Roman" w:hAnsi="Times New Roman" w:eastAsia="仿宋_GB2312" w:cs="Times New Roman"/>
                      <w:color w:val="000000"/>
                      <w:kern w:val="0"/>
                      <w:sz w:val="22"/>
                      <w:highlight w:val="none"/>
                      <w:u w:val="none"/>
                      <w:lang w:eastAsia="zh-CN" w:bidi="ar"/>
                    </w:rPr>
                    <w:t>、</w:t>
                  </w:r>
                  <w:r>
                    <w:rPr>
                      <w:rFonts w:hint="default" w:ascii="Times New Roman" w:hAnsi="Times New Roman" w:eastAsia="仿宋_GB2312" w:cs="Times New Roman"/>
                      <w:color w:val="000000"/>
                      <w:kern w:val="0"/>
                      <w:sz w:val="22"/>
                      <w:highlight w:val="none"/>
                      <w:u w:val="none"/>
                      <w:lang w:bidi="ar"/>
                    </w:rPr>
                    <w:t>中华商标协会商标代理机构等级认定</w:t>
                  </w:r>
                  <w:r>
                    <w:rPr>
                      <w:rFonts w:hint="default" w:ascii="Times New Roman" w:hAnsi="Times New Roman" w:eastAsia="仿宋_GB2312" w:cs="Times New Roman"/>
                      <w:i w:val="0"/>
                      <w:iCs w:val="0"/>
                      <w:color w:val="000000"/>
                      <w:kern w:val="0"/>
                      <w:sz w:val="22"/>
                      <w:szCs w:val="22"/>
                      <w:highlight w:val="none"/>
                      <w:u w:val="none"/>
                      <w:lang w:val="en-US" w:eastAsia="zh-CN" w:bidi="ar"/>
                    </w:rPr>
                    <w:t>、各级</w:t>
                  </w:r>
                  <w:r>
                    <w:rPr>
                      <w:rFonts w:hint="default" w:ascii="Times New Roman" w:hAnsi="Times New Roman" w:eastAsia="仿宋_GB2312" w:cs="Times New Roman"/>
                      <w:color w:val="000000"/>
                      <w:kern w:val="0"/>
                      <w:sz w:val="22"/>
                      <w:highlight w:val="none"/>
                      <w:u w:val="none"/>
                      <w:lang w:bidi="ar"/>
                    </w:rPr>
                    <w:t>知识产权服务业分级分类等级认定</w:t>
                  </w:r>
                  <w:r>
                    <w:rPr>
                      <w:rFonts w:hint="default" w:ascii="Times New Roman" w:hAnsi="Times New Roman" w:eastAsia="仿宋_GB2312" w:cs="Times New Roman"/>
                      <w:color w:val="000000"/>
                      <w:kern w:val="0"/>
                      <w:sz w:val="22"/>
                      <w:highlight w:val="none"/>
                      <w:u w:val="none"/>
                      <w:lang w:eastAsia="zh-CN" w:bidi="ar"/>
                    </w:rPr>
                    <w:t>、</w:t>
                  </w:r>
                  <w:r>
                    <w:rPr>
                      <w:rFonts w:hint="default" w:ascii="Times New Roman" w:hAnsi="Times New Roman" w:eastAsia="仿宋_GB2312" w:cs="Times New Roman"/>
                      <w:color w:val="000000"/>
                      <w:kern w:val="0"/>
                      <w:sz w:val="22"/>
                      <w:highlight w:val="none"/>
                      <w:u w:val="none"/>
                      <w:lang w:val="en-US" w:eastAsia="zh-CN" w:bidi="ar"/>
                    </w:rPr>
                    <w:t>各级知识产权公共服务网点、</w:t>
                  </w:r>
                  <w:r>
                    <w:rPr>
                      <w:rFonts w:hint="default" w:ascii="Times New Roman" w:hAnsi="Times New Roman" w:eastAsia="仿宋_GB2312" w:cs="Times New Roman"/>
                      <w:color w:val="000000"/>
                      <w:kern w:val="0"/>
                      <w:sz w:val="22"/>
                      <w:highlight w:val="none"/>
                      <w:u w:val="none"/>
                      <w:lang w:bidi="ar"/>
                    </w:rPr>
                    <w:t>TISC</w:t>
                  </w:r>
                  <w:r>
                    <w:rPr>
                      <w:rFonts w:hint="default" w:ascii="Times New Roman" w:hAnsi="Times New Roman" w:eastAsia="仿宋_GB2312" w:cs="Times New Roman"/>
                      <w:color w:val="000000"/>
                      <w:kern w:val="0"/>
                      <w:sz w:val="22"/>
                      <w:highlight w:val="none"/>
                      <w:u w:val="none"/>
                      <w:lang w:val="en-US" w:eastAsia="zh-CN" w:bidi="ar"/>
                    </w:rPr>
                    <w:t>等，同一类型不重复计算。</w:t>
                  </w:r>
                </w:p>
              </w:tc>
            </w:tr>
            <w:tr w14:paraId="03517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trPr>
              <w:tc>
                <w:tcPr>
                  <w:tcW w:w="1333" w:type="dxa"/>
                  <w:vMerge w:val="continue"/>
                  <w:tcBorders>
                    <w:tl2br w:val="nil"/>
                    <w:tr2bl w:val="nil"/>
                  </w:tcBorders>
                  <w:noWrap w:val="0"/>
                  <w:vAlign w:val="center"/>
                </w:tcPr>
                <w:p w14:paraId="163C2B5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703" w:type="dxa"/>
                  <w:tcBorders>
                    <w:tl2br w:val="nil"/>
                    <w:tr2bl w:val="nil"/>
                  </w:tcBorders>
                  <w:noWrap w:val="0"/>
                  <w:vAlign w:val="center"/>
                </w:tcPr>
                <w:p w14:paraId="39F7E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业务能力</w:t>
                  </w:r>
                </w:p>
              </w:tc>
              <w:tc>
                <w:tcPr>
                  <w:tcW w:w="6604" w:type="dxa"/>
                  <w:tcBorders>
                    <w:tl2br w:val="nil"/>
                    <w:tr2bl w:val="nil"/>
                  </w:tcBorders>
                  <w:noWrap/>
                  <w:vAlign w:val="center"/>
                </w:tcPr>
                <w:p w14:paraId="48C426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lang w:eastAsia="zh-CN"/>
                    </w:rPr>
                  </w:pPr>
                  <w:r>
                    <w:rPr>
                      <w:rFonts w:hint="default" w:ascii="Times New Roman" w:hAnsi="Times New Roman" w:eastAsia="仿宋_GB2312" w:cs="Times New Roman"/>
                      <w:color w:val="000000"/>
                      <w:kern w:val="0"/>
                      <w:sz w:val="22"/>
                      <w:highlight w:val="none"/>
                      <w:u w:val="none"/>
                      <w:lang w:bidi="ar"/>
                    </w:rPr>
                    <w:t>代理或服务专利申请获得中国专利奖、广东省专利奖、粤港澳大湾区高价值专利培育布局大赛奖项情况及承接政府项目情况</w:t>
                  </w:r>
                  <w:r>
                    <w:rPr>
                      <w:rFonts w:hint="default" w:ascii="Times New Roman" w:hAnsi="Times New Roman" w:eastAsia="仿宋_GB2312" w:cs="Times New Roman"/>
                      <w:color w:val="000000"/>
                      <w:kern w:val="0"/>
                      <w:sz w:val="22"/>
                      <w:highlight w:val="none"/>
                      <w:u w:val="none"/>
                      <w:lang w:eastAsia="zh-CN" w:bidi="ar"/>
                    </w:rPr>
                    <w:t>。</w:t>
                  </w:r>
                </w:p>
              </w:tc>
            </w:tr>
            <w:tr w14:paraId="46645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33" w:type="dxa"/>
                  <w:noWrap w:val="0"/>
                  <w:vAlign w:val="center"/>
                </w:tcPr>
                <w:p w14:paraId="202EA9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运营情况</w:t>
                  </w:r>
                </w:p>
              </w:tc>
              <w:tc>
                <w:tcPr>
                  <w:tcW w:w="703" w:type="dxa"/>
                  <w:noWrap w:val="0"/>
                  <w:vAlign w:val="center"/>
                </w:tcPr>
                <w:p w14:paraId="34D62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kern w:val="0"/>
                      <w:sz w:val="22"/>
                      <w:szCs w:val="22"/>
                      <w:highlight w:val="none"/>
                      <w:u w:val="none"/>
                      <w:lang w:val="en-US" w:eastAsia="zh-CN" w:bidi="ar"/>
                    </w:rPr>
                    <w:t>目标营业收入</w:t>
                  </w:r>
                </w:p>
              </w:tc>
              <w:tc>
                <w:tcPr>
                  <w:tcW w:w="6604" w:type="dxa"/>
                  <w:noWrap w:val="0"/>
                  <w:vAlign w:val="center"/>
                </w:tcPr>
                <w:p w14:paraId="397B44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服务券发放实施后一年内目标营收总额。</w:t>
                  </w:r>
                </w:p>
              </w:tc>
            </w:tr>
            <w:tr w14:paraId="444B6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33" w:type="dxa"/>
                  <w:vMerge w:val="restart"/>
                  <w:tcBorders>
                    <w:tl2br w:val="nil"/>
                    <w:tr2bl w:val="nil"/>
                  </w:tcBorders>
                  <w:noWrap w:val="0"/>
                  <w:vAlign w:val="center"/>
                </w:tcPr>
                <w:p w14:paraId="1F0A9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服务券发放实施能力</w:t>
                  </w:r>
                </w:p>
              </w:tc>
              <w:tc>
                <w:tcPr>
                  <w:tcW w:w="703" w:type="dxa"/>
                  <w:tcBorders>
                    <w:tl2br w:val="nil"/>
                    <w:tr2bl w:val="nil"/>
                  </w:tcBorders>
                  <w:noWrap w:val="0"/>
                  <w:vAlign w:val="center"/>
                </w:tcPr>
                <w:p w14:paraId="5FE6B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客户服务数量</w:t>
                  </w:r>
                </w:p>
              </w:tc>
              <w:tc>
                <w:tcPr>
                  <w:tcW w:w="6604" w:type="dxa"/>
                  <w:tcBorders>
                    <w:tl2br w:val="nil"/>
                    <w:tr2bl w:val="nil"/>
                  </w:tcBorders>
                  <w:noWrap w:val="0"/>
                  <w:vAlign w:val="center"/>
                </w:tcPr>
                <w:p w14:paraId="767F0C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上一会计年度市场化服务客户数量。</w:t>
                  </w:r>
                </w:p>
              </w:tc>
            </w:tr>
            <w:tr w14:paraId="5E94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33" w:type="dxa"/>
                  <w:vMerge w:val="continue"/>
                  <w:tcBorders>
                    <w:tl2br w:val="nil"/>
                    <w:tr2bl w:val="nil"/>
                  </w:tcBorders>
                  <w:noWrap w:val="0"/>
                  <w:vAlign w:val="center"/>
                </w:tcPr>
                <w:p w14:paraId="64199248">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703" w:type="dxa"/>
                  <w:tcBorders>
                    <w:tl2br w:val="nil"/>
                    <w:tr2bl w:val="nil"/>
                  </w:tcBorders>
                  <w:noWrap w:val="0"/>
                  <w:vAlign w:val="center"/>
                </w:tcPr>
                <w:p w14:paraId="450530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合同总额</w:t>
                  </w:r>
                </w:p>
              </w:tc>
              <w:tc>
                <w:tcPr>
                  <w:tcW w:w="6604" w:type="dxa"/>
                  <w:tcBorders>
                    <w:tl2br w:val="nil"/>
                    <w:tr2bl w:val="nil"/>
                  </w:tcBorders>
                  <w:noWrap w:val="0"/>
                  <w:vAlign w:val="center"/>
                </w:tcPr>
                <w:p w14:paraId="027745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上一会计年度市场化服务客户合同总额。</w:t>
                  </w:r>
                </w:p>
              </w:tc>
            </w:tr>
            <w:tr w14:paraId="6560A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1333" w:type="dxa"/>
                  <w:vMerge w:val="continue"/>
                  <w:tcBorders>
                    <w:tl2br w:val="nil"/>
                    <w:tr2bl w:val="nil"/>
                  </w:tcBorders>
                  <w:noWrap w:val="0"/>
                  <w:vAlign w:val="center"/>
                </w:tcPr>
                <w:p w14:paraId="6FF0DFE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703" w:type="dxa"/>
                  <w:tcBorders>
                    <w:tl2br w:val="nil"/>
                    <w:tr2bl w:val="nil"/>
                  </w:tcBorders>
                  <w:noWrap w:val="0"/>
                  <w:vAlign w:val="center"/>
                </w:tcPr>
                <w:p w14:paraId="6B192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实施方案</w:t>
                  </w:r>
                </w:p>
              </w:tc>
              <w:tc>
                <w:tcPr>
                  <w:tcW w:w="6604" w:type="dxa"/>
                  <w:tcBorders>
                    <w:tl2br w:val="nil"/>
                    <w:tr2bl w:val="nil"/>
                  </w:tcBorders>
                  <w:noWrap w:val="0"/>
                  <w:vAlign w:val="center"/>
                </w:tcPr>
                <w:p w14:paraId="207FA8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拟定服务券使用方案，包括具体工作目标、工作计划，实施方式、资源支持等。</w:t>
                  </w:r>
                </w:p>
              </w:tc>
            </w:tr>
            <w:tr w14:paraId="75B25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1333" w:type="dxa"/>
                  <w:tcBorders>
                    <w:tl2br w:val="nil"/>
                    <w:tr2bl w:val="nil"/>
                  </w:tcBorders>
                  <w:noWrap w:val="0"/>
                  <w:vAlign w:val="center"/>
                </w:tcPr>
                <w:p w14:paraId="394DAD2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其他情况</w:t>
                  </w:r>
                </w:p>
              </w:tc>
              <w:tc>
                <w:tcPr>
                  <w:tcW w:w="703" w:type="dxa"/>
                  <w:tcBorders>
                    <w:tl2br w:val="nil"/>
                    <w:tr2bl w:val="nil"/>
                  </w:tcBorders>
                  <w:noWrap w:val="0"/>
                  <w:vAlign w:val="center"/>
                </w:tcPr>
                <w:p w14:paraId="0C6AEC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color w:val="000000"/>
                      <w:kern w:val="0"/>
                      <w:sz w:val="22"/>
                      <w:highlight w:val="none"/>
                      <w:u w:val="none"/>
                      <w:lang w:val="en-US" w:eastAsia="zh-CN" w:bidi="ar"/>
                    </w:rPr>
                    <w:t>“两业融合”</w:t>
                  </w:r>
                  <w:r>
                    <w:rPr>
                      <w:rFonts w:hint="default" w:ascii="Times New Roman" w:hAnsi="Times New Roman" w:eastAsia="仿宋_GB2312" w:cs="Times New Roman"/>
                      <w:color w:val="000000"/>
                      <w:kern w:val="0"/>
                      <w:sz w:val="22"/>
                      <w:highlight w:val="none"/>
                      <w:u w:val="none"/>
                      <w:lang w:bidi="ar"/>
                    </w:rPr>
                    <w:t>贡献</w:t>
                  </w:r>
                  <w:r>
                    <w:rPr>
                      <w:rFonts w:hint="default" w:ascii="Times New Roman" w:hAnsi="Times New Roman" w:eastAsia="仿宋_GB2312" w:cs="Times New Roman"/>
                      <w:color w:val="000000"/>
                      <w:kern w:val="0"/>
                      <w:sz w:val="22"/>
                      <w:highlight w:val="none"/>
                      <w:u w:val="none"/>
                      <w:lang w:val="en-US" w:eastAsia="zh-CN" w:bidi="ar"/>
                    </w:rPr>
                    <w:t>情况</w:t>
                  </w:r>
                </w:p>
              </w:tc>
              <w:tc>
                <w:tcPr>
                  <w:tcW w:w="6604" w:type="dxa"/>
                  <w:tcBorders>
                    <w:tl2br w:val="nil"/>
                    <w:tr2bl w:val="nil"/>
                  </w:tcBorders>
                  <w:noWrap w:val="0"/>
                  <w:vAlign w:val="center"/>
                </w:tcPr>
                <w:p w14:paraId="488E2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承诺服务券发放实施后一年内协助广州开发区知识产权局深化生产性服务业与先进制造业“两业融合”加快培育新质生产力情况。</w:t>
                  </w:r>
                </w:p>
              </w:tc>
            </w:tr>
          </w:tbl>
          <w:p w14:paraId="57C06C97">
            <w:pPr>
              <w:keepNext w:val="0"/>
              <w:keepLines w:val="0"/>
              <w:pageBreakBefore w:val="0"/>
              <w:kinsoku/>
              <w:wordWrap/>
              <w:overflowPunct/>
              <w:topLinePunct w:val="0"/>
              <w:bidi w:val="0"/>
              <w:spacing w:line="560" w:lineRule="exact"/>
              <w:rPr>
                <w:rFonts w:hint="default" w:ascii="Times New Roman" w:hAnsi="Times New Roman" w:eastAsia="黑体" w:cs="Times New Roman"/>
                <w:bCs/>
                <w:kern w:val="2"/>
                <w:sz w:val="32"/>
                <w:szCs w:val="32"/>
                <w:highlight w:val="none"/>
                <w:u w:val="none"/>
                <w:lang w:val="en-US" w:eastAsia="zh-CN" w:bidi="ar-SA"/>
              </w:rPr>
            </w:pPr>
          </w:p>
        </w:tc>
      </w:tr>
    </w:tbl>
    <w:p w14:paraId="4A54E2A2">
      <w:pPr>
        <w:keepNext w:val="0"/>
        <w:keepLines w:val="0"/>
        <w:pageBreakBefore w:val="0"/>
        <w:kinsoku/>
        <w:wordWrap/>
        <w:overflowPunct/>
        <w:topLinePunct w:val="0"/>
        <w:bidi w:val="0"/>
        <w:spacing w:line="560" w:lineRule="exact"/>
        <w:rPr>
          <w:rFonts w:hint="default" w:ascii="Times New Roman" w:hAnsi="Times New Roman" w:eastAsia="黑体" w:cs="Times New Roman"/>
          <w:i w:val="0"/>
          <w:iCs w:val="0"/>
          <w:color w:val="000000"/>
          <w:kern w:val="0"/>
          <w:sz w:val="32"/>
          <w:szCs w:val="32"/>
          <w:highlight w:val="none"/>
          <w:u w:val="none"/>
          <w:lang w:val="en-US" w:eastAsia="zh-CN" w:bidi="ar"/>
        </w:rPr>
      </w:pPr>
      <w:r>
        <w:rPr>
          <w:rFonts w:hint="default" w:ascii="Times New Roman" w:hAnsi="Times New Roman" w:eastAsia="黑体" w:cs="Times New Roman"/>
          <w:i w:val="0"/>
          <w:iCs w:val="0"/>
          <w:color w:val="000000"/>
          <w:kern w:val="0"/>
          <w:sz w:val="32"/>
          <w:szCs w:val="32"/>
          <w:highlight w:val="none"/>
          <w:u w:val="none"/>
          <w:lang w:val="en-US" w:eastAsia="zh-CN" w:bidi="ar"/>
        </w:rPr>
        <w:br w:type="page"/>
      </w:r>
    </w:p>
    <w:tbl>
      <w:tblPr>
        <w:tblStyle w:val="10"/>
        <w:tblW w:w="87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7"/>
      </w:tblGrid>
      <w:tr w14:paraId="30471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2" w:hRule="atLeast"/>
        </w:trPr>
        <w:tc>
          <w:tcPr>
            <w:tcW w:w="8797" w:type="dxa"/>
            <w:tcBorders>
              <w:top w:val="nil"/>
              <w:left w:val="nil"/>
              <w:bottom w:val="nil"/>
              <w:right w:val="nil"/>
            </w:tcBorders>
            <w:noWrap/>
            <w:vAlign w:val="bottom"/>
          </w:tcPr>
          <w:p w14:paraId="2E995A13">
            <w:pPr>
              <w:keepNext w:val="0"/>
              <w:keepLines w:val="0"/>
              <w:pageBreakBefore w:val="0"/>
              <w:kinsoku/>
              <w:wordWrap/>
              <w:overflowPunct/>
              <w:topLinePunct w:val="0"/>
              <w:bidi w:val="0"/>
              <w:spacing w:line="560" w:lineRule="exact"/>
              <w:rPr>
                <w:rFonts w:hint="default"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lang w:val="en-US" w:eastAsia="zh-CN"/>
              </w:rPr>
              <w:t>附件2-2</w:t>
            </w:r>
          </w:p>
          <w:p w14:paraId="2801D23A">
            <w:pPr>
              <w:pStyle w:val="6"/>
              <w:rPr>
                <w:rFonts w:hint="default" w:ascii="Times New Roman" w:hAnsi="Times New Roman" w:cs="Times New Roman"/>
                <w:lang w:val="en-US" w:eastAsia="zh-CN"/>
              </w:rPr>
            </w:pPr>
          </w:p>
          <w:tbl>
            <w:tblPr>
              <w:tblStyle w:val="10"/>
              <w:tblW w:w="8607" w:type="dxa"/>
              <w:tblInd w:w="-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3"/>
              <w:gridCol w:w="874"/>
              <w:gridCol w:w="6450"/>
            </w:tblGrid>
            <w:tr w14:paraId="699C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607" w:type="dxa"/>
                  <w:gridSpan w:val="3"/>
                  <w:tcBorders>
                    <w:top w:val="single" w:color="000000" w:sz="4" w:space="0"/>
                    <w:left w:val="single" w:color="000000" w:sz="4" w:space="0"/>
                    <w:bottom w:val="single" w:color="000000" w:sz="4" w:space="0"/>
                    <w:right w:val="single" w:color="000000" w:sz="4" w:space="0"/>
                  </w:tcBorders>
                  <w:noWrap/>
                  <w:vAlign w:val="center"/>
                </w:tcPr>
                <w:p w14:paraId="2869E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广州开发区 广州市黄埔区知识产权服务券申领机构遴选指标</w:t>
                  </w:r>
                </w:p>
                <w:p w14:paraId="5858C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（从事经营活动不满一年）</w:t>
                  </w:r>
                </w:p>
              </w:tc>
            </w:tr>
            <w:tr w14:paraId="2623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607" w:type="dxa"/>
                  <w:gridSpan w:val="3"/>
                  <w:tcBorders>
                    <w:top w:val="single" w:color="000000" w:sz="4" w:space="0"/>
                    <w:left w:val="single" w:color="000000" w:sz="4" w:space="0"/>
                    <w:bottom w:val="single" w:color="000000" w:sz="4" w:space="0"/>
                    <w:right w:val="single" w:color="000000" w:sz="4" w:space="0"/>
                  </w:tcBorders>
                  <w:noWrap/>
                  <w:vAlign w:val="center"/>
                </w:tcPr>
                <w:p w14:paraId="57F48C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w:t>
                  </w:r>
                </w:p>
              </w:tc>
            </w:tr>
            <w:tr w14:paraId="2BBC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3" w:type="dxa"/>
                  <w:tcBorders>
                    <w:top w:val="single" w:color="000000" w:sz="4" w:space="0"/>
                    <w:left w:val="single" w:color="000000" w:sz="4" w:space="0"/>
                    <w:bottom w:val="single" w:color="000000" w:sz="4" w:space="0"/>
                    <w:right w:val="single" w:color="000000" w:sz="4" w:space="0"/>
                  </w:tcBorders>
                  <w:noWrap w:val="0"/>
                  <w:vAlign w:val="center"/>
                </w:tcPr>
                <w:p w14:paraId="1B263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大类指标</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6B16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小类指标</w:t>
                  </w:r>
                </w:p>
              </w:tc>
              <w:tc>
                <w:tcPr>
                  <w:tcW w:w="6450" w:type="dxa"/>
                  <w:tcBorders>
                    <w:top w:val="single" w:color="000000" w:sz="4" w:space="0"/>
                    <w:left w:val="single" w:color="000000" w:sz="4" w:space="0"/>
                    <w:bottom w:val="single" w:color="000000" w:sz="4" w:space="0"/>
                    <w:right w:val="single" w:color="000000" w:sz="4" w:space="0"/>
                  </w:tcBorders>
                  <w:noWrap/>
                  <w:vAlign w:val="center"/>
                </w:tcPr>
                <w:p w14:paraId="2EA04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具体内容</w:t>
                  </w:r>
                </w:p>
              </w:tc>
            </w:tr>
            <w:tr w14:paraId="2E2E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C3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行业影响力</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C28C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预计营业收入</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671EC8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申报单位或其母公司根据往年营收预计2025年营收总额。（需提供往年营收相关依据）</w:t>
                  </w:r>
                </w:p>
              </w:tc>
            </w:tr>
            <w:tr w14:paraId="48AD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7668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1003C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上级荣誉</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1648F6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申报单位或其母公司</w:t>
                  </w:r>
                  <w:r>
                    <w:rPr>
                      <w:rFonts w:hint="default" w:ascii="Times New Roman" w:hAnsi="Times New Roman" w:eastAsia="仿宋_GB2312" w:cs="Times New Roman"/>
                      <w:color w:val="000000"/>
                      <w:kern w:val="0"/>
                      <w:sz w:val="22"/>
                      <w:highlight w:val="none"/>
                      <w:u w:val="none"/>
                      <w:lang w:bidi="ar"/>
                    </w:rPr>
                    <w:t>获评区级以上行政、司法部门或行业组织评定的资质、颁发的奖项或典型案例情况及各级知识产权领军人才、拔尖人才等高层次人才数量。</w:t>
                  </w:r>
                  <w:r>
                    <w:rPr>
                      <w:rFonts w:hint="default" w:ascii="Times New Roman" w:hAnsi="Times New Roman" w:eastAsia="仿宋_GB2312" w:cs="Times New Roman"/>
                      <w:i w:val="0"/>
                      <w:iCs w:val="0"/>
                      <w:color w:val="000000"/>
                      <w:kern w:val="0"/>
                      <w:sz w:val="22"/>
                      <w:szCs w:val="22"/>
                      <w:highlight w:val="none"/>
                      <w:u w:val="none"/>
                      <w:lang w:val="en-US" w:eastAsia="zh-CN" w:bidi="ar"/>
                    </w:rPr>
                    <w:t>含获评全国知识产权品牌服务机构、</w:t>
                  </w:r>
                  <w:r>
                    <w:rPr>
                      <w:rFonts w:hint="default" w:ascii="Times New Roman" w:hAnsi="Times New Roman" w:eastAsia="仿宋_GB2312" w:cs="Times New Roman"/>
                      <w:color w:val="000000"/>
                      <w:kern w:val="0"/>
                      <w:sz w:val="22"/>
                      <w:highlight w:val="none"/>
                      <w:u w:val="none"/>
                      <w:lang w:bidi="ar"/>
                    </w:rPr>
                    <w:t>中华全国专利代理师协会专利代理机构</w:t>
                  </w:r>
                  <w:r>
                    <w:rPr>
                      <w:rFonts w:hint="default" w:ascii="Times New Roman" w:hAnsi="Times New Roman" w:eastAsia="仿宋_GB2312" w:cs="Times New Roman"/>
                      <w:color w:val="000000"/>
                      <w:kern w:val="0"/>
                      <w:sz w:val="22"/>
                      <w:highlight w:val="none"/>
                      <w:u w:val="none"/>
                      <w:lang w:val="en-US" w:eastAsia="zh-CN" w:bidi="ar"/>
                    </w:rPr>
                    <w:t>等级认定</w:t>
                  </w:r>
                  <w:r>
                    <w:rPr>
                      <w:rFonts w:hint="default" w:ascii="Times New Roman" w:hAnsi="Times New Roman" w:eastAsia="仿宋_GB2312" w:cs="Times New Roman"/>
                      <w:color w:val="000000"/>
                      <w:kern w:val="0"/>
                      <w:sz w:val="22"/>
                      <w:highlight w:val="none"/>
                      <w:u w:val="none"/>
                      <w:lang w:eastAsia="zh-CN" w:bidi="ar"/>
                    </w:rPr>
                    <w:t>、</w:t>
                  </w:r>
                  <w:r>
                    <w:rPr>
                      <w:rFonts w:hint="default" w:ascii="Times New Roman" w:hAnsi="Times New Roman" w:eastAsia="仿宋_GB2312" w:cs="Times New Roman"/>
                      <w:color w:val="000000"/>
                      <w:kern w:val="0"/>
                      <w:sz w:val="22"/>
                      <w:highlight w:val="none"/>
                      <w:u w:val="none"/>
                      <w:lang w:bidi="ar"/>
                    </w:rPr>
                    <w:t>中华商标协会商标代理机构等级认定</w:t>
                  </w:r>
                  <w:r>
                    <w:rPr>
                      <w:rFonts w:hint="default" w:ascii="Times New Roman" w:hAnsi="Times New Roman" w:eastAsia="仿宋_GB2312" w:cs="Times New Roman"/>
                      <w:i w:val="0"/>
                      <w:iCs w:val="0"/>
                      <w:color w:val="000000"/>
                      <w:kern w:val="0"/>
                      <w:sz w:val="22"/>
                      <w:szCs w:val="22"/>
                      <w:highlight w:val="none"/>
                      <w:u w:val="none"/>
                      <w:lang w:val="en-US" w:eastAsia="zh-CN" w:bidi="ar"/>
                    </w:rPr>
                    <w:t>、各级</w:t>
                  </w:r>
                  <w:r>
                    <w:rPr>
                      <w:rFonts w:hint="default" w:ascii="Times New Roman" w:hAnsi="Times New Roman" w:eastAsia="仿宋_GB2312" w:cs="Times New Roman"/>
                      <w:color w:val="000000"/>
                      <w:kern w:val="0"/>
                      <w:sz w:val="22"/>
                      <w:highlight w:val="none"/>
                      <w:u w:val="none"/>
                      <w:lang w:bidi="ar"/>
                    </w:rPr>
                    <w:t>知识产权服务业分级分类</w:t>
                  </w:r>
                  <w:r>
                    <w:rPr>
                      <w:rFonts w:hint="default" w:ascii="Times New Roman" w:hAnsi="Times New Roman" w:eastAsia="仿宋_GB2312" w:cs="Times New Roman"/>
                      <w:color w:val="000000"/>
                      <w:kern w:val="0"/>
                      <w:sz w:val="22"/>
                      <w:highlight w:val="none"/>
                      <w:u w:val="none"/>
                      <w:lang w:val="en-US" w:eastAsia="zh-CN" w:bidi="ar"/>
                    </w:rPr>
                    <w:t>等级评定</w:t>
                  </w:r>
                  <w:r>
                    <w:rPr>
                      <w:rFonts w:hint="default" w:ascii="Times New Roman" w:hAnsi="Times New Roman" w:eastAsia="仿宋_GB2312" w:cs="Times New Roman"/>
                      <w:color w:val="000000"/>
                      <w:kern w:val="0"/>
                      <w:sz w:val="22"/>
                      <w:highlight w:val="none"/>
                      <w:u w:val="none"/>
                      <w:lang w:eastAsia="zh-CN" w:bidi="ar"/>
                    </w:rPr>
                    <w:t>、</w:t>
                  </w:r>
                  <w:r>
                    <w:rPr>
                      <w:rFonts w:hint="default" w:ascii="Times New Roman" w:hAnsi="Times New Roman" w:eastAsia="仿宋_GB2312" w:cs="Times New Roman"/>
                      <w:color w:val="000000"/>
                      <w:kern w:val="0"/>
                      <w:sz w:val="22"/>
                      <w:highlight w:val="none"/>
                      <w:u w:val="none"/>
                      <w:lang w:val="en-US" w:eastAsia="zh-CN" w:bidi="ar"/>
                    </w:rPr>
                    <w:t>各级知识产权公共服务网点、</w:t>
                  </w:r>
                  <w:r>
                    <w:rPr>
                      <w:rFonts w:hint="default" w:ascii="Times New Roman" w:hAnsi="Times New Roman" w:eastAsia="仿宋_GB2312" w:cs="Times New Roman"/>
                      <w:color w:val="000000"/>
                      <w:kern w:val="0"/>
                      <w:sz w:val="22"/>
                      <w:highlight w:val="none"/>
                      <w:u w:val="none"/>
                      <w:lang w:bidi="ar"/>
                    </w:rPr>
                    <w:t>TISC</w:t>
                  </w:r>
                  <w:r>
                    <w:rPr>
                      <w:rFonts w:hint="default" w:ascii="Times New Roman" w:hAnsi="Times New Roman" w:eastAsia="仿宋_GB2312" w:cs="Times New Roman"/>
                      <w:color w:val="000000"/>
                      <w:kern w:val="0"/>
                      <w:sz w:val="22"/>
                      <w:highlight w:val="none"/>
                      <w:u w:val="none"/>
                      <w:lang w:val="en-US" w:eastAsia="zh-CN" w:bidi="ar"/>
                    </w:rPr>
                    <w:t>等，同一类型不重复计算。</w:t>
                  </w:r>
                </w:p>
              </w:tc>
            </w:tr>
            <w:tr w14:paraId="0259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A8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产投情况</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C9A7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目标营业收入</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273DBB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申报单位在服务券发放实施后一年内目标营收总额。</w:t>
                  </w:r>
                </w:p>
              </w:tc>
            </w:tr>
            <w:tr w14:paraId="7831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01EE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9BF3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投资情况</w:t>
                  </w:r>
                </w:p>
              </w:tc>
              <w:tc>
                <w:tcPr>
                  <w:tcW w:w="6450" w:type="dxa"/>
                  <w:tcBorders>
                    <w:top w:val="single" w:color="000000" w:sz="4" w:space="0"/>
                    <w:left w:val="single" w:color="000000" w:sz="4" w:space="0"/>
                    <w:bottom w:val="single" w:color="000000" w:sz="4" w:space="0"/>
                    <w:right w:val="single" w:color="000000" w:sz="4" w:space="0"/>
                  </w:tcBorders>
                  <w:noWrap/>
                  <w:vAlign w:val="center"/>
                </w:tcPr>
                <w:p w14:paraId="5DCB85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申报单位注册资本总额。</w:t>
                  </w:r>
                </w:p>
              </w:tc>
            </w:tr>
            <w:tr w14:paraId="7299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D1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服务券发放实施能力</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A3A4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客户服务数量</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304338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 xml:space="preserve">申报单位或其母公司上一会计年度市场化服务客户数量。  </w:t>
                  </w:r>
                </w:p>
              </w:tc>
            </w:tr>
            <w:tr w14:paraId="0C5F2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CCF0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52C7BD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合同总额</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0C02C5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申报单位或其母公司上一会计年度市场化服务客户合同总额。</w:t>
                  </w:r>
                </w:p>
              </w:tc>
            </w:tr>
            <w:tr w14:paraId="0B31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83" w:type="dxa"/>
                  <w:vMerge w:val="continue"/>
                  <w:tcBorders>
                    <w:top w:val="nil"/>
                    <w:left w:val="single" w:color="000000" w:sz="4" w:space="0"/>
                    <w:bottom w:val="single" w:color="000000" w:sz="4" w:space="0"/>
                    <w:right w:val="single" w:color="000000" w:sz="4" w:space="0"/>
                  </w:tcBorders>
                  <w:noWrap w:val="0"/>
                  <w:vAlign w:val="center"/>
                </w:tcPr>
                <w:p w14:paraId="7A5BFBE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84616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实施方案</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76A9FB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拟定服务券使用方案，包括具体工作目标、工作计划，实施方式、资源支持等。</w:t>
                  </w:r>
                </w:p>
              </w:tc>
            </w:tr>
            <w:tr w14:paraId="3927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1283" w:type="dxa"/>
                  <w:tcBorders>
                    <w:top w:val="nil"/>
                    <w:left w:val="single" w:color="000000" w:sz="4" w:space="0"/>
                    <w:bottom w:val="single" w:color="000000" w:sz="4" w:space="0"/>
                    <w:right w:val="single" w:color="000000" w:sz="4" w:space="0"/>
                  </w:tcBorders>
                  <w:noWrap w:val="0"/>
                  <w:vAlign w:val="center"/>
                </w:tcPr>
                <w:p w14:paraId="71F67A5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sz w:val="22"/>
                      <w:szCs w:val="22"/>
                      <w:highlight w:val="none"/>
                      <w:u w:val="none"/>
                      <w:lang w:val="en-US" w:eastAsia="zh-CN"/>
                    </w:rPr>
                    <w:t>其他情况</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E41C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color w:val="000000"/>
                      <w:kern w:val="0"/>
                      <w:sz w:val="22"/>
                      <w:highlight w:val="none"/>
                      <w:u w:val="none"/>
                      <w:lang w:val="en-US" w:eastAsia="zh-CN" w:bidi="ar"/>
                    </w:rPr>
                    <w:t>“两业融合”</w:t>
                  </w:r>
                  <w:r>
                    <w:rPr>
                      <w:rFonts w:hint="default" w:ascii="Times New Roman" w:hAnsi="Times New Roman" w:eastAsia="仿宋_GB2312" w:cs="Times New Roman"/>
                      <w:color w:val="000000"/>
                      <w:kern w:val="0"/>
                      <w:sz w:val="22"/>
                      <w:highlight w:val="none"/>
                      <w:u w:val="none"/>
                      <w:lang w:bidi="ar"/>
                    </w:rPr>
                    <w:t>贡献</w:t>
                  </w:r>
                  <w:r>
                    <w:rPr>
                      <w:rFonts w:hint="default" w:ascii="Times New Roman" w:hAnsi="Times New Roman" w:eastAsia="仿宋_GB2312" w:cs="Times New Roman"/>
                      <w:color w:val="000000"/>
                      <w:kern w:val="0"/>
                      <w:sz w:val="22"/>
                      <w:highlight w:val="none"/>
                      <w:u w:val="none"/>
                      <w:lang w:val="en-US" w:eastAsia="zh-CN" w:bidi="ar"/>
                    </w:rPr>
                    <w:t>情况</w:t>
                  </w:r>
                </w:p>
              </w:tc>
              <w:tc>
                <w:tcPr>
                  <w:tcW w:w="6450" w:type="dxa"/>
                  <w:tcBorders>
                    <w:top w:val="single" w:color="000000" w:sz="4" w:space="0"/>
                    <w:left w:val="single" w:color="000000" w:sz="4" w:space="0"/>
                    <w:bottom w:val="single" w:color="000000" w:sz="4" w:space="0"/>
                    <w:right w:val="single" w:color="000000" w:sz="4" w:space="0"/>
                  </w:tcBorders>
                  <w:noWrap w:val="0"/>
                  <w:vAlign w:val="center"/>
                </w:tcPr>
                <w:p w14:paraId="082D03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承诺服务券发放实施后一年内协助广州开发区知识产权局深化生产性服务业与先进制造业“两业融合”加快培育新质生产力情况。</w:t>
                  </w:r>
                </w:p>
              </w:tc>
            </w:tr>
          </w:tbl>
          <w:p w14:paraId="206A751E">
            <w:pPr>
              <w:keepNext w:val="0"/>
              <w:keepLines w:val="0"/>
              <w:pageBreakBefore w:val="0"/>
              <w:kinsoku/>
              <w:wordWrap/>
              <w:overflowPunct/>
              <w:topLinePunct w:val="0"/>
              <w:bidi w:val="0"/>
              <w:spacing w:line="560" w:lineRule="exact"/>
              <w:rPr>
                <w:rFonts w:hint="default" w:ascii="Times New Roman" w:hAnsi="Times New Roman" w:eastAsia="黑体" w:cs="Times New Roman"/>
                <w:i w:val="0"/>
                <w:iCs w:val="0"/>
                <w:color w:val="000000"/>
                <w:kern w:val="0"/>
                <w:sz w:val="32"/>
                <w:szCs w:val="32"/>
                <w:highlight w:val="none"/>
                <w:u w:val="none"/>
                <w:lang w:val="en-US" w:eastAsia="zh-CN" w:bidi="ar"/>
              </w:rPr>
            </w:pPr>
          </w:p>
        </w:tc>
      </w:tr>
    </w:tbl>
    <w:p w14:paraId="75FDA958">
      <w:pPr>
        <w:keepNext w:val="0"/>
        <w:keepLines w:val="0"/>
        <w:pageBreakBefore w:val="0"/>
        <w:kinsoku/>
        <w:wordWrap/>
        <w:overflowPunct/>
        <w:topLinePunct w:val="0"/>
        <w:bidi w:val="0"/>
        <w:spacing w:line="560" w:lineRule="exact"/>
        <w:jc w:val="left"/>
        <w:rPr>
          <w:rFonts w:hint="default" w:ascii="Times New Roman" w:hAnsi="Times New Roman" w:eastAsia="黑体" w:cs="Times New Roman"/>
          <w:b w:val="0"/>
          <w:bCs w:val="0"/>
          <w:color w:val="auto"/>
          <w:kern w:val="0"/>
          <w:sz w:val="32"/>
          <w:szCs w:val="32"/>
          <w:highlight w:val="none"/>
          <w:u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C350CB0">
      <w:pPr>
        <w:keepNext w:val="0"/>
        <w:keepLines w:val="0"/>
        <w:pageBreakBefore w:val="0"/>
        <w:kinsoku/>
        <w:wordWrap/>
        <w:overflowPunct/>
        <w:topLinePunct w:val="0"/>
        <w:bidi w:val="0"/>
        <w:spacing w:line="560" w:lineRule="exact"/>
        <w:rPr>
          <w:rFonts w:hint="default"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rPr>
        <w:t>附件</w:t>
      </w:r>
      <w:r>
        <w:rPr>
          <w:rFonts w:hint="default" w:ascii="Times New Roman" w:hAnsi="Times New Roman" w:eastAsia="黑体" w:cs="Times New Roman"/>
          <w:bCs/>
          <w:sz w:val="32"/>
          <w:szCs w:val="32"/>
          <w:highlight w:val="none"/>
          <w:u w:val="none"/>
          <w:lang w:val="en-US" w:eastAsia="zh-CN"/>
        </w:rPr>
        <w:t>3</w:t>
      </w:r>
    </w:p>
    <w:p w14:paraId="53FCEF14">
      <w:pPr>
        <w:keepNext w:val="0"/>
        <w:keepLines w:val="0"/>
        <w:pageBreakBefore w:val="0"/>
        <w:kinsoku/>
        <w:wordWrap/>
        <w:overflowPunct/>
        <w:topLinePunct w:val="0"/>
        <w:bidi w:val="0"/>
        <w:spacing w:line="560" w:lineRule="exact"/>
        <w:jc w:val="center"/>
        <w:rPr>
          <w:rFonts w:hint="default" w:ascii="Times New Roman" w:hAnsi="Times New Roman" w:eastAsia="方正小标宋简体" w:cs="Times New Roman"/>
          <w:b w:val="0"/>
          <w:bCs w:val="0"/>
          <w:color w:val="auto"/>
          <w:kern w:val="0"/>
          <w:sz w:val="32"/>
          <w:szCs w:val="32"/>
          <w:highlight w:val="none"/>
          <w:u w:val="none"/>
          <w:lang w:val="en-US" w:eastAsia="zh-CN"/>
        </w:rPr>
      </w:pPr>
      <w:r>
        <w:rPr>
          <w:rFonts w:hint="default" w:ascii="Times New Roman" w:hAnsi="Times New Roman" w:eastAsia="方正小标宋简体" w:cs="Times New Roman"/>
          <w:color w:val="auto"/>
          <w:kern w:val="0"/>
          <w:sz w:val="32"/>
          <w:szCs w:val="32"/>
          <w:highlight w:val="none"/>
          <w:u w:val="none"/>
        </w:rPr>
        <w:t>广州开发区知识产权服务券登记表</w:t>
      </w:r>
    </w:p>
    <w:p w14:paraId="3F4F4639">
      <w:pPr>
        <w:keepNext w:val="0"/>
        <w:keepLines w:val="0"/>
        <w:pageBreakBefore w:val="0"/>
        <w:kinsoku/>
        <w:wordWrap/>
        <w:overflowPunct/>
        <w:topLinePunct w:val="0"/>
        <w:bidi w:val="0"/>
        <w:spacing w:line="560" w:lineRule="exact"/>
        <w:jc w:val="right"/>
        <w:rPr>
          <w:rFonts w:hint="default" w:ascii="Times New Roman" w:hAnsi="Times New Roman" w:cs="Times New Roman"/>
          <w:color w:val="auto"/>
          <w:highlight w:val="none"/>
          <w:u w:val="none"/>
        </w:rPr>
      </w:pPr>
      <w:r>
        <w:rPr>
          <w:rFonts w:hint="default" w:ascii="Times New Roman" w:hAnsi="Times New Roman" w:eastAsia="仿宋_GB2312" w:cs="Times New Roman"/>
          <w:b w:val="0"/>
          <w:bCs w:val="0"/>
          <w:color w:val="auto"/>
          <w:kern w:val="0"/>
          <w:sz w:val="24"/>
          <w:szCs w:val="24"/>
          <w:highlight w:val="none"/>
          <w:u w:val="none"/>
          <w:lang w:val="en-US" w:eastAsia="zh-CN"/>
        </w:rPr>
        <w:t>日期：                                                                                                单位：</w:t>
      </w:r>
      <w:r>
        <w:rPr>
          <w:rFonts w:hint="default" w:ascii="Times New Roman" w:hAnsi="Times New Roman" w:eastAsia="仿宋_GB2312" w:cs="Times New Roman"/>
          <w:b w:val="0"/>
          <w:bCs w:val="0"/>
          <w:color w:val="auto"/>
          <w:kern w:val="0"/>
          <w:sz w:val="24"/>
          <w:szCs w:val="24"/>
          <w:highlight w:val="none"/>
          <w:u w:val="none"/>
          <w:lang w:val="en-US" w:eastAsia="zh-CN"/>
        </w:rPr>
        <w:t xml:space="preserve">    </w:t>
      </w:r>
      <w:r>
        <w:rPr>
          <w:rFonts w:hint="default" w:ascii="Times New Roman" w:hAnsi="Times New Roman" w:eastAsia="仿宋_GB2312" w:cs="Times New Roman"/>
          <w:b w:val="0"/>
          <w:bCs w:val="0"/>
          <w:color w:val="auto"/>
          <w:kern w:val="0"/>
          <w:sz w:val="24"/>
          <w:szCs w:val="24"/>
          <w:highlight w:val="none"/>
          <w:u w:val="none"/>
          <w:lang w:val="en-US" w:eastAsia="zh-CN"/>
        </w:rPr>
        <w:t>万元</w:t>
      </w:r>
    </w:p>
    <w:tbl>
      <w:tblPr>
        <w:tblStyle w:val="10"/>
        <w:tblW w:w="4997" w:type="pct"/>
        <w:tblInd w:w="0" w:type="dxa"/>
        <w:tblLayout w:type="autofit"/>
        <w:tblCellMar>
          <w:top w:w="0" w:type="dxa"/>
          <w:left w:w="30" w:type="dxa"/>
          <w:bottom w:w="0" w:type="dxa"/>
          <w:right w:w="30" w:type="dxa"/>
        </w:tblCellMar>
      </w:tblPr>
      <w:tblGrid>
        <w:gridCol w:w="389"/>
        <w:gridCol w:w="1706"/>
        <w:gridCol w:w="2043"/>
        <w:gridCol w:w="1760"/>
        <w:gridCol w:w="1124"/>
        <w:gridCol w:w="1774"/>
        <w:gridCol w:w="1432"/>
        <w:gridCol w:w="1622"/>
        <w:gridCol w:w="2160"/>
      </w:tblGrid>
      <w:tr w14:paraId="5E116B5C">
        <w:tblPrEx>
          <w:tblCellMar>
            <w:top w:w="0" w:type="dxa"/>
            <w:left w:w="30" w:type="dxa"/>
            <w:bottom w:w="0" w:type="dxa"/>
            <w:right w:w="30" w:type="dxa"/>
          </w:tblCellMar>
        </w:tblPrEx>
        <w:trPr>
          <w:trHeight w:val="417" w:hRule="atLeast"/>
        </w:trPr>
        <w:tc>
          <w:tcPr>
            <w:tcW w:w="748" w:type="pct"/>
            <w:gridSpan w:val="2"/>
            <w:tcBorders>
              <w:top w:val="single" w:color="auto" w:sz="6" w:space="0"/>
              <w:left w:val="single" w:color="auto" w:sz="6" w:space="0"/>
              <w:bottom w:val="single" w:color="auto" w:sz="6" w:space="0"/>
              <w:right w:val="single" w:color="auto" w:sz="6" w:space="0"/>
            </w:tcBorders>
            <w:noWrap w:val="0"/>
            <w:vAlign w:val="center"/>
          </w:tcPr>
          <w:p w14:paraId="43A1237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rPr>
              <w:t>申请单位</w:t>
            </w:r>
          </w:p>
        </w:tc>
        <w:tc>
          <w:tcPr>
            <w:tcW w:w="4251" w:type="pct"/>
            <w:gridSpan w:val="7"/>
            <w:tcBorders>
              <w:top w:val="single" w:color="auto" w:sz="6" w:space="0"/>
              <w:left w:val="single" w:color="auto" w:sz="6" w:space="0"/>
              <w:bottom w:val="single" w:color="auto" w:sz="6" w:space="0"/>
              <w:right w:val="single" w:color="auto" w:sz="6" w:space="0"/>
            </w:tcBorders>
            <w:noWrap w:val="0"/>
            <w:vAlign w:val="center"/>
          </w:tcPr>
          <w:p w14:paraId="51D377B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r>
      <w:tr w14:paraId="69F19226">
        <w:tblPrEx>
          <w:tblCellMar>
            <w:top w:w="0" w:type="dxa"/>
            <w:left w:w="30" w:type="dxa"/>
            <w:bottom w:w="0" w:type="dxa"/>
            <w:right w:w="30" w:type="dxa"/>
          </w:tblCellMar>
        </w:tblPrEx>
        <w:trPr>
          <w:trHeight w:val="461" w:hRule="atLeast"/>
        </w:trPr>
        <w:tc>
          <w:tcPr>
            <w:tcW w:w="748" w:type="pct"/>
            <w:gridSpan w:val="2"/>
            <w:tcBorders>
              <w:top w:val="single" w:color="auto" w:sz="6" w:space="0"/>
              <w:left w:val="single" w:color="auto" w:sz="6" w:space="0"/>
              <w:bottom w:val="single" w:color="auto" w:sz="6" w:space="0"/>
              <w:right w:val="single" w:color="auto" w:sz="6" w:space="0"/>
            </w:tcBorders>
            <w:noWrap w:val="0"/>
            <w:vAlign w:val="center"/>
          </w:tcPr>
          <w:p w14:paraId="08CDF46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lang w:val="en-US" w:eastAsia="zh-CN"/>
              </w:rPr>
              <w:t>经办人</w:t>
            </w:r>
          </w:p>
        </w:tc>
        <w:tc>
          <w:tcPr>
            <w:tcW w:w="729" w:type="pct"/>
            <w:tcBorders>
              <w:top w:val="single" w:color="auto" w:sz="6" w:space="0"/>
              <w:left w:val="single" w:color="auto" w:sz="6" w:space="0"/>
              <w:bottom w:val="single" w:color="auto" w:sz="6" w:space="0"/>
              <w:right w:val="single" w:color="auto" w:sz="6" w:space="0"/>
            </w:tcBorders>
            <w:noWrap w:val="0"/>
            <w:vAlign w:val="center"/>
          </w:tcPr>
          <w:p w14:paraId="4616CF4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28" w:type="pct"/>
            <w:tcBorders>
              <w:top w:val="single" w:color="auto" w:sz="6" w:space="0"/>
              <w:left w:val="single" w:color="auto" w:sz="6" w:space="0"/>
              <w:bottom w:val="single" w:color="auto" w:sz="6" w:space="0"/>
              <w:right w:val="single" w:color="auto" w:sz="6" w:space="0"/>
            </w:tcBorders>
            <w:noWrap w:val="0"/>
            <w:vAlign w:val="center"/>
          </w:tcPr>
          <w:p w14:paraId="4C5A493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r>
              <w:rPr>
                <w:rFonts w:hint="default" w:ascii="Times New Roman" w:hAnsi="Times New Roman" w:eastAsia="仿宋_GB2312" w:cs="Times New Roman"/>
                <w:color w:val="auto"/>
                <w:kern w:val="0"/>
                <w:sz w:val="24"/>
                <w:highlight w:val="none"/>
                <w:u w:val="none"/>
              </w:rPr>
              <w:t>手机号码</w:t>
            </w:r>
          </w:p>
        </w:tc>
        <w:tc>
          <w:tcPr>
            <w:tcW w:w="1034" w:type="pct"/>
            <w:gridSpan w:val="2"/>
            <w:tcBorders>
              <w:top w:val="single" w:color="auto" w:sz="6" w:space="0"/>
              <w:left w:val="single" w:color="auto" w:sz="6" w:space="0"/>
              <w:bottom w:val="single" w:color="auto" w:sz="6" w:space="0"/>
              <w:right w:val="single" w:color="auto" w:sz="6" w:space="0"/>
            </w:tcBorders>
            <w:noWrap w:val="0"/>
            <w:vAlign w:val="center"/>
          </w:tcPr>
          <w:p w14:paraId="63964BF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p>
        </w:tc>
        <w:tc>
          <w:tcPr>
            <w:tcW w:w="511" w:type="pct"/>
            <w:tcBorders>
              <w:top w:val="single" w:color="auto" w:sz="6" w:space="0"/>
              <w:left w:val="single" w:color="auto" w:sz="6" w:space="0"/>
              <w:bottom w:val="single" w:color="auto" w:sz="6" w:space="0"/>
              <w:right w:val="single" w:color="auto" w:sz="6" w:space="0"/>
            </w:tcBorders>
            <w:noWrap w:val="0"/>
            <w:vAlign w:val="center"/>
          </w:tcPr>
          <w:p w14:paraId="7C8338C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r>
              <w:rPr>
                <w:rFonts w:hint="default" w:ascii="Times New Roman" w:hAnsi="Times New Roman" w:eastAsia="仿宋_GB2312" w:cs="Times New Roman"/>
                <w:color w:val="auto"/>
                <w:kern w:val="0"/>
                <w:sz w:val="24"/>
                <w:highlight w:val="none"/>
                <w:u w:val="none"/>
              </w:rPr>
              <w:t>邮箱地址</w:t>
            </w:r>
          </w:p>
        </w:tc>
        <w:tc>
          <w:tcPr>
            <w:tcW w:w="1349" w:type="pct"/>
            <w:gridSpan w:val="2"/>
            <w:tcBorders>
              <w:top w:val="single" w:color="auto" w:sz="6" w:space="0"/>
              <w:left w:val="single" w:color="auto" w:sz="6" w:space="0"/>
              <w:bottom w:val="single" w:color="auto" w:sz="6" w:space="0"/>
              <w:right w:val="single" w:color="auto" w:sz="6" w:space="0"/>
            </w:tcBorders>
            <w:noWrap w:val="0"/>
            <w:vAlign w:val="center"/>
          </w:tcPr>
          <w:p w14:paraId="2A9FBF0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p>
        </w:tc>
      </w:tr>
      <w:tr w14:paraId="627258E9">
        <w:tblPrEx>
          <w:tblCellMar>
            <w:top w:w="0" w:type="dxa"/>
            <w:left w:w="30" w:type="dxa"/>
            <w:bottom w:w="0" w:type="dxa"/>
            <w:right w:w="30" w:type="dxa"/>
          </w:tblCellMar>
        </w:tblPrEx>
        <w:trPr>
          <w:trHeight w:val="772" w:hRule="atLeast"/>
        </w:trPr>
        <w:tc>
          <w:tcPr>
            <w:tcW w:w="139" w:type="pct"/>
            <w:tcBorders>
              <w:top w:val="single" w:color="auto" w:sz="6" w:space="0"/>
              <w:left w:val="single" w:color="auto" w:sz="6" w:space="0"/>
              <w:bottom w:val="single" w:color="auto" w:sz="6" w:space="0"/>
              <w:right w:val="single" w:color="auto" w:sz="6" w:space="0"/>
            </w:tcBorders>
            <w:noWrap w:val="0"/>
            <w:vAlign w:val="center"/>
          </w:tcPr>
          <w:p w14:paraId="607713E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rPr>
              <w:t>序号</w:t>
            </w:r>
          </w:p>
        </w:tc>
        <w:tc>
          <w:tcPr>
            <w:tcW w:w="608" w:type="pct"/>
            <w:tcBorders>
              <w:top w:val="single" w:color="auto" w:sz="6" w:space="0"/>
              <w:left w:val="single" w:color="auto" w:sz="6" w:space="0"/>
              <w:bottom w:val="single" w:color="auto" w:sz="6" w:space="0"/>
              <w:right w:val="single" w:color="auto" w:sz="6" w:space="0"/>
            </w:tcBorders>
            <w:noWrap w:val="0"/>
            <w:vAlign w:val="center"/>
          </w:tcPr>
          <w:p w14:paraId="20AB22F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lang w:val="en-US" w:eastAsia="zh-CN"/>
              </w:rPr>
              <w:t>合同</w:t>
            </w:r>
            <w:r>
              <w:rPr>
                <w:rFonts w:hint="default" w:ascii="Times New Roman" w:hAnsi="Times New Roman" w:eastAsia="仿宋_GB2312" w:cs="Times New Roman"/>
                <w:color w:val="auto"/>
                <w:kern w:val="0"/>
                <w:sz w:val="24"/>
                <w:highlight w:val="none"/>
                <w:u w:val="none"/>
              </w:rPr>
              <w:t>名称</w:t>
            </w:r>
          </w:p>
        </w:tc>
        <w:tc>
          <w:tcPr>
            <w:tcW w:w="729" w:type="pct"/>
            <w:tcBorders>
              <w:top w:val="single" w:color="auto" w:sz="6" w:space="0"/>
              <w:left w:val="single" w:color="auto" w:sz="6" w:space="0"/>
              <w:bottom w:val="single" w:color="auto" w:sz="6" w:space="0"/>
              <w:right w:val="single" w:color="auto" w:sz="6" w:space="0"/>
            </w:tcBorders>
            <w:noWrap w:val="0"/>
            <w:vAlign w:val="center"/>
          </w:tcPr>
          <w:p w14:paraId="1DBB3E1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lang w:val="en-US" w:eastAsia="zh-CN"/>
              </w:rPr>
              <w:t>合同相对方（企业）</w:t>
            </w:r>
          </w:p>
        </w:tc>
        <w:tc>
          <w:tcPr>
            <w:tcW w:w="628" w:type="pct"/>
            <w:tcBorders>
              <w:top w:val="single" w:color="auto" w:sz="6" w:space="0"/>
              <w:left w:val="single" w:color="auto" w:sz="6" w:space="0"/>
              <w:bottom w:val="single" w:color="auto" w:sz="6" w:space="0"/>
              <w:right w:val="single" w:color="auto" w:sz="6" w:space="0"/>
            </w:tcBorders>
            <w:noWrap w:val="0"/>
            <w:vAlign w:val="center"/>
          </w:tcPr>
          <w:p w14:paraId="55C6142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r>
              <w:rPr>
                <w:rFonts w:hint="default" w:ascii="Times New Roman" w:hAnsi="Times New Roman" w:eastAsia="仿宋_GB2312" w:cs="Times New Roman"/>
                <w:color w:val="auto"/>
                <w:kern w:val="0"/>
                <w:sz w:val="24"/>
                <w:highlight w:val="none"/>
                <w:u w:val="none"/>
              </w:rPr>
              <w:t>合同签订时间</w:t>
            </w:r>
          </w:p>
        </w:tc>
        <w:tc>
          <w:tcPr>
            <w:tcW w:w="401" w:type="pct"/>
            <w:tcBorders>
              <w:top w:val="single" w:color="auto" w:sz="6" w:space="0"/>
              <w:left w:val="single" w:color="auto" w:sz="6" w:space="0"/>
              <w:bottom w:val="single" w:color="auto" w:sz="6" w:space="0"/>
              <w:right w:val="single" w:color="auto" w:sz="6" w:space="0"/>
            </w:tcBorders>
            <w:noWrap w:val="0"/>
            <w:vAlign w:val="center"/>
          </w:tcPr>
          <w:p w14:paraId="4089FA0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lang w:val="en-US" w:eastAsia="zh-CN"/>
              </w:rPr>
              <w:t>合同金</w:t>
            </w:r>
            <w:r>
              <w:rPr>
                <w:rFonts w:hint="default" w:ascii="Times New Roman" w:hAnsi="Times New Roman" w:eastAsia="仿宋_GB2312" w:cs="Times New Roman"/>
                <w:color w:val="auto"/>
                <w:kern w:val="0"/>
                <w:sz w:val="24"/>
                <w:highlight w:val="none"/>
                <w:u w:val="none"/>
              </w:rPr>
              <w:t>额</w:t>
            </w:r>
          </w:p>
        </w:tc>
        <w:tc>
          <w:tcPr>
            <w:tcW w:w="633" w:type="pct"/>
            <w:tcBorders>
              <w:top w:val="single" w:color="auto" w:sz="6" w:space="0"/>
              <w:left w:val="single" w:color="auto" w:sz="6" w:space="0"/>
              <w:bottom w:val="single" w:color="auto" w:sz="6" w:space="0"/>
              <w:right w:val="single" w:color="auto" w:sz="6" w:space="0"/>
            </w:tcBorders>
            <w:noWrap w:val="0"/>
            <w:vAlign w:val="center"/>
          </w:tcPr>
          <w:p w14:paraId="77489DA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rPr>
              <w:t>服务类别</w:t>
            </w:r>
          </w:p>
        </w:tc>
        <w:tc>
          <w:tcPr>
            <w:tcW w:w="511" w:type="pct"/>
            <w:tcBorders>
              <w:top w:val="single" w:color="auto" w:sz="6" w:space="0"/>
              <w:left w:val="single" w:color="auto" w:sz="6" w:space="0"/>
              <w:bottom w:val="single" w:color="auto" w:sz="6" w:space="0"/>
              <w:right w:val="single" w:color="auto" w:sz="6" w:space="0"/>
            </w:tcBorders>
            <w:noWrap w:val="0"/>
            <w:vAlign w:val="center"/>
          </w:tcPr>
          <w:p w14:paraId="12BFB1B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lang w:val="en-US" w:eastAsia="zh-CN"/>
              </w:rPr>
              <w:t>本次服务券</w:t>
            </w:r>
            <w:r>
              <w:rPr>
                <w:rFonts w:hint="default" w:ascii="Times New Roman" w:hAnsi="Times New Roman" w:eastAsia="仿宋_GB2312" w:cs="Times New Roman"/>
                <w:color w:val="auto"/>
                <w:kern w:val="0"/>
                <w:sz w:val="24"/>
                <w:highlight w:val="none"/>
                <w:u w:val="none"/>
                <w:lang w:val="en-US" w:eastAsia="zh-CN"/>
              </w:rPr>
              <w:t>使用</w:t>
            </w:r>
            <w:r>
              <w:rPr>
                <w:rFonts w:hint="default" w:ascii="Times New Roman" w:hAnsi="Times New Roman" w:eastAsia="仿宋_GB2312" w:cs="Times New Roman"/>
                <w:color w:val="auto"/>
                <w:kern w:val="0"/>
                <w:sz w:val="24"/>
                <w:highlight w:val="none"/>
                <w:u w:val="none"/>
                <w:lang w:val="en-US" w:eastAsia="zh-CN"/>
              </w:rPr>
              <w:t>额度</w:t>
            </w:r>
          </w:p>
        </w:tc>
        <w:tc>
          <w:tcPr>
            <w:tcW w:w="578" w:type="pct"/>
            <w:tcBorders>
              <w:top w:val="single" w:color="auto" w:sz="6" w:space="0"/>
              <w:left w:val="single" w:color="auto" w:sz="6" w:space="0"/>
              <w:bottom w:val="single" w:color="auto" w:sz="6" w:space="0"/>
              <w:right w:val="single" w:color="auto" w:sz="6" w:space="0"/>
            </w:tcBorders>
            <w:noWrap w:val="0"/>
            <w:vAlign w:val="center"/>
          </w:tcPr>
          <w:p w14:paraId="334E5DE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r>
              <w:rPr>
                <w:rFonts w:hint="default" w:ascii="Times New Roman" w:hAnsi="Times New Roman" w:eastAsia="仿宋_GB2312" w:cs="Times New Roman"/>
                <w:color w:val="auto"/>
                <w:kern w:val="0"/>
                <w:sz w:val="24"/>
                <w:highlight w:val="none"/>
                <w:u w:val="none"/>
              </w:rPr>
              <w:t>合同相对方（企业）服务券累计使用额</w:t>
            </w:r>
          </w:p>
        </w:tc>
        <w:tc>
          <w:tcPr>
            <w:tcW w:w="770" w:type="pct"/>
            <w:tcBorders>
              <w:top w:val="single" w:color="auto" w:sz="6" w:space="0"/>
              <w:left w:val="single" w:color="auto" w:sz="6" w:space="0"/>
              <w:bottom w:val="single" w:color="auto" w:sz="6" w:space="0"/>
              <w:right w:val="single" w:color="auto" w:sz="6" w:space="0"/>
            </w:tcBorders>
            <w:noWrap w:val="0"/>
            <w:vAlign w:val="center"/>
          </w:tcPr>
          <w:p w14:paraId="178C7B2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eastAsia="zh-CN"/>
              </w:rPr>
            </w:pPr>
            <w:r>
              <w:rPr>
                <w:rFonts w:hint="default" w:ascii="Times New Roman" w:hAnsi="Times New Roman" w:eastAsia="仿宋_GB2312" w:cs="Times New Roman"/>
                <w:color w:val="auto"/>
                <w:kern w:val="0"/>
                <w:sz w:val="24"/>
                <w:highlight w:val="none"/>
                <w:u w:val="none"/>
              </w:rPr>
              <w:t>服务机构服务券累计申领额</w:t>
            </w:r>
          </w:p>
        </w:tc>
      </w:tr>
      <w:tr w14:paraId="0F7E4EFF">
        <w:tblPrEx>
          <w:tblCellMar>
            <w:top w:w="0" w:type="dxa"/>
            <w:left w:w="30" w:type="dxa"/>
            <w:bottom w:w="0" w:type="dxa"/>
            <w:right w:w="30" w:type="dxa"/>
          </w:tblCellMar>
        </w:tblPrEx>
        <w:trPr>
          <w:trHeight w:val="525" w:hRule="atLeast"/>
        </w:trPr>
        <w:tc>
          <w:tcPr>
            <w:tcW w:w="139" w:type="pct"/>
            <w:tcBorders>
              <w:top w:val="single" w:color="auto" w:sz="6" w:space="0"/>
              <w:left w:val="single" w:color="auto" w:sz="6" w:space="0"/>
              <w:bottom w:val="single" w:color="auto" w:sz="6" w:space="0"/>
              <w:right w:val="single" w:color="auto" w:sz="6" w:space="0"/>
            </w:tcBorders>
            <w:noWrap w:val="0"/>
            <w:vAlign w:val="center"/>
          </w:tcPr>
          <w:p w14:paraId="3893EDB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08" w:type="pct"/>
            <w:tcBorders>
              <w:top w:val="single" w:color="auto" w:sz="6" w:space="0"/>
              <w:left w:val="single" w:color="auto" w:sz="6" w:space="0"/>
              <w:bottom w:val="single" w:color="auto" w:sz="6" w:space="0"/>
              <w:right w:val="single" w:color="auto" w:sz="6" w:space="0"/>
            </w:tcBorders>
            <w:noWrap w:val="0"/>
            <w:vAlign w:val="center"/>
          </w:tcPr>
          <w:p w14:paraId="4883B00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729" w:type="pct"/>
            <w:tcBorders>
              <w:top w:val="single" w:color="auto" w:sz="6" w:space="0"/>
              <w:left w:val="single" w:color="auto" w:sz="6" w:space="0"/>
              <w:bottom w:val="single" w:color="auto" w:sz="6" w:space="0"/>
              <w:right w:val="single" w:color="auto" w:sz="6" w:space="0"/>
            </w:tcBorders>
            <w:noWrap w:val="0"/>
            <w:vAlign w:val="center"/>
          </w:tcPr>
          <w:p w14:paraId="6B06C5C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28" w:type="pct"/>
            <w:tcBorders>
              <w:top w:val="single" w:color="auto" w:sz="6" w:space="0"/>
              <w:left w:val="single" w:color="auto" w:sz="6" w:space="0"/>
              <w:bottom w:val="single" w:color="auto" w:sz="6" w:space="0"/>
              <w:right w:val="single" w:color="auto" w:sz="6" w:space="0"/>
            </w:tcBorders>
            <w:noWrap w:val="0"/>
            <w:vAlign w:val="center"/>
          </w:tcPr>
          <w:p w14:paraId="1CA6A39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401" w:type="pct"/>
            <w:tcBorders>
              <w:top w:val="single" w:color="auto" w:sz="6" w:space="0"/>
              <w:left w:val="single" w:color="auto" w:sz="6" w:space="0"/>
              <w:bottom w:val="single" w:color="auto" w:sz="6" w:space="0"/>
              <w:right w:val="single" w:color="auto" w:sz="6" w:space="0"/>
            </w:tcBorders>
            <w:noWrap w:val="0"/>
            <w:vAlign w:val="center"/>
          </w:tcPr>
          <w:p w14:paraId="115CA23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33" w:type="pct"/>
            <w:tcBorders>
              <w:top w:val="single" w:color="auto" w:sz="6" w:space="0"/>
              <w:left w:val="single" w:color="auto" w:sz="6" w:space="0"/>
              <w:bottom w:val="single" w:color="auto" w:sz="6" w:space="0"/>
              <w:right w:val="single" w:color="auto" w:sz="6" w:space="0"/>
            </w:tcBorders>
            <w:noWrap w:val="0"/>
            <w:vAlign w:val="center"/>
          </w:tcPr>
          <w:p w14:paraId="2DE278D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511" w:type="pct"/>
            <w:tcBorders>
              <w:top w:val="single" w:color="auto" w:sz="6" w:space="0"/>
              <w:left w:val="single" w:color="auto" w:sz="6" w:space="0"/>
              <w:bottom w:val="single" w:color="auto" w:sz="6" w:space="0"/>
              <w:right w:val="single" w:color="auto" w:sz="6" w:space="0"/>
            </w:tcBorders>
            <w:noWrap w:val="0"/>
            <w:vAlign w:val="center"/>
          </w:tcPr>
          <w:p w14:paraId="24E713E1">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578" w:type="pct"/>
            <w:tcBorders>
              <w:top w:val="single" w:color="auto" w:sz="6" w:space="0"/>
              <w:left w:val="single" w:color="auto" w:sz="6" w:space="0"/>
              <w:bottom w:val="single" w:color="auto" w:sz="6" w:space="0"/>
              <w:right w:val="single" w:color="auto" w:sz="6" w:space="0"/>
            </w:tcBorders>
            <w:noWrap w:val="0"/>
            <w:vAlign w:val="center"/>
          </w:tcPr>
          <w:p w14:paraId="778D25C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770" w:type="pct"/>
            <w:tcBorders>
              <w:top w:val="single" w:color="auto" w:sz="6" w:space="0"/>
              <w:left w:val="single" w:color="auto" w:sz="6" w:space="0"/>
              <w:bottom w:val="single" w:color="auto" w:sz="6" w:space="0"/>
              <w:right w:val="single" w:color="auto" w:sz="6" w:space="0"/>
            </w:tcBorders>
            <w:noWrap w:val="0"/>
            <w:vAlign w:val="center"/>
          </w:tcPr>
          <w:p w14:paraId="19F3B40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r>
      <w:tr w14:paraId="5FFF8E2D">
        <w:tblPrEx>
          <w:tblCellMar>
            <w:top w:w="0" w:type="dxa"/>
            <w:left w:w="30" w:type="dxa"/>
            <w:bottom w:w="0" w:type="dxa"/>
            <w:right w:w="30" w:type="dxa"/>
          </w:tblCellMar>
        </w:tblPrEx>
        <w:trPr>
          <w:trHeight w:val="514" w:hRule="atLeast"/>
        </w:trPr>
        <w:tc>
          <w:tcPr>
            <w:tcW w:w="139" w:type="pct"/>
            <w:tcBorders>
              <w:top w:val="single" w:color="auto" w:sz="6" w:space="0"/>
              <w:left w:val="single" w:color="auto" w:sz="6" w:space="0"/>
              <w:bottom w:val="single" w:color="auto" w:sz="6" w:space="0"/>
              <w:right w:val="single" w:color="auto" w:sz="6" w:space="0"/>
            </w:tcBorders>
            <w:noWrap w:val="0"/>
            <w:vAlign w:val="center"/>
          </w:tcPr>
          <w:p w14:paraId="7F931FD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08" w:type="pct"/>
            <w:tcBorders>
              <w:top w:val="single" w:color="auto" w:sz="6" w:space="0"/>
              <w:left w:val="single" w:color="auto" w:sz="6" w:space="0"/>
              <w:bottom w:val="single" w:color="auto" w:sz="6" w:space="0"/>
              <w:right w:val="single" w:color="auto" w:sz="6" w:space="0"/>
            </w:tcBorders>
            <w:noWrap w:val="0"/>
            <w:vAlign w:val="center"/>
          </w:tcPr>
          <w:p w14:paraId="4B5CF11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729" w:type="pct"/>
            <w:tcBorders>
              <w:top w:val="single" w:color="auto" w:sz="6" w:space="0"/>
              <w:left w:val="single" w:color="auto" w:sz="6" w:space="0"/>
              <w:bottom w:val="single" w:color="auto" w:sz="6" w:space="0"/>
              <w:right w:val="single" w:color="auto" w:sz="6" w:space="0"/>
            </w:tcBorders>
            <w:noWrap w:val="0"/>
            <w:vAlign w:val="center"/>
          </w:tcPr>
          <w:p w14:paraId="081F1D9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28" w:type="pct"/>
            <w:tcBorders>
              <w:top w:val="single" w:color="auto" w:sz="6" w:space="0"/>
              <w:left w:val="single" w:color="auto" w:sz="6" w:space="0"/>
              <w:bottom w:val="single" w:color="auto" w:sz="6" w:space="0"/>
              <w:right w:val="single" w:color="auto" w:sz="6" w:space="0"/>
            </w:tcBorders>
            <w:noWrap w:val="0"/>
            <w:vAlign w:val="center"/>
          </w:tcPr>
          <w:p w14:paraId="1862392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401" w:type="pct"/>
            <w:tcBorders>
              <w:top w:val="single" w:color="auto" w:sz="6" w:space="0"/>
              <w:left w:val="single" w:color="auto" w:sz="6" w:space="0"/>
              <w:bottom w:val="single" w:color="auto" w:sz="6" w:space="0"/>
              <w:right w:val="single" w:color="auto" w:sz="6" w:space="0"/>
            </w:tcBorders>
            <w:noWrap w:val="0"/>
            <w:vAlign w:val="center"/>
          </w:tcPr>
          <w:p w14:paraId="3865CB0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33" w:type="pct"/>
            <w:tcBorders>
              <w:top w:val="single" w:color="auto" w:sz="6" w:space="0"/>
              <w:left w:val="single" w:color="auto" w:sz="6" w:space="0"/>
              <w:bottom w:val="single" w:color="auto" w:sz="6" w:space="0"/>
              <w:right w:val="single" w:color="auto" w:sz="6" w:space="0"/>
            </w:tcBorders>
            <w:noWrap w:val="0"/>
            <w:vAlign w:val="center"/>
          </w:tcPr>
          <w:p w14:paraId="1E7D340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511" w:type="pct"/>
            <w:tcBorders>
              <w:top w:val="single" w:color="auto" w:sz="6" w:space="0"/>
              <w:left w:val="single" w:color="auto" w:sz="6" w:space="0"/>
              <w:bottom w:val="single" w:color="auto" w:sz="6" w:space="0"/>
              <w:right w:val="single" w:color="auto" w:sz="6" w:space="0"/>
            </w:tcBorders>
            <w:noWrap w:val="0"/>
            <w:vAlign w:val="center"/>
          </w:tcPr>
          <w:p w14:paraId="2ACEF12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578" w:type="pct"/>
            <w:tcBorders>
              <w:top w:val="single" w:color="auto" w:sz="6" w:space="0"/>
              <w:left w:val="single" w:color="auto" w:sz="6" w:space="0"/>
              <w:bottom w:val="single" w:color="auto" w:sz="6" w:space="0"/>
              <w:right w:val="single" w:color="auto" w:sz="6" w:space="0"/>
            </w:tcBorders>
            <w:noWrap w:val="0"/>
            <w:vAlign w:val="center"/>
          </w:tcPr>
          <w:p w14:paraId="586EC70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770" w:type="pct"/>
            <w:tcBorders>
              <w:top w:val="single" w:color="auto" w:sz="6" w:space="0"/>
              <w:left w:val="single" w:color="auto" w:sz="6" w:space="0"/>
              <w:bottom w:val="single" w:color="auto" w:sz="6" w:space="0"/>
              <w:right w:val="single" w:color="auto" w:sz="6" w:space="0"/>
            </w:tcBorders>
            <w:noWrap w:val="0"/>
            <w:vAlign w:val="center"/>
          </w:tcPr>
          <w:p w14:paraId="41D98B6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r>
      <w:tr w14:paraId="38194691">
        <w:tblPrEx>
          <w:tblCellMar>
            <w:top w:w="0" w:type="dxa"/>
            <w:left w:w="30" w:type="dxa"/>
            <w:bottom w:w="0" w:type="dxa"/>
            <w:right w:w="30" w:type="dxa"/>
          </w:tblCellMar>
        </w:tblPrEx>
        <w:trPr>
          <w:trHeight w:val="514" w:hRule="atLeast"/>
        </w:trPr>
        <w:tc>
          <w:tcPr>
            <w:tcW w:w="139" w:type="pct"/>
            <w:tcBorders>
              <w:top w:val="single" w:color="auto" w:sz="6" w:space="0"/>
              <w:left w:val="single" w:color="auto" w:sz="6" w:space="0"/>
              <w:bottom w:val="single" w:color="auto" w:sz="6" w:space="0"/>
              <w:right w:val="single" w:color="auto" w:sz="6" w:space="0"/>
            </w:tcBorders>
            <w:noWrap w:val="0"/>
            <w:vAlign w:val="center"/>
          </w:tcPr>
          <w:p w14:paraId="3BFF244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08" w:type="pct"/>
            <w:tcBorders>
              <w:top w:val="single" w:color="auto" w:sz="6" w:space="0"/>
              <w:left w:val="single" w:color="auto" w:sz="6" w:space="0"/>
              <w:bottom w:val="single" w:color="auto" w:sz="6" w:space="0"/>
              <w:right w:val="single" w:color="auto" w:sz="6" w:space="0"/>
            </w:tcBorders>
            <w:noWrap w:val="0"/>
            <w:vAlign w:val="center"/>
          </w:tcPr>
          <w:p w14:paraId="162FC87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729" w:type="pct"/>
            <w:tcBorders>
              <w:top w:val="single" w:color="auto" w:sz="6" w:space="0"/>
              <w:left w:val="single" w:color="auto" w:sz="6" w:space="0"/>
              <w:bottom w:val="single" w:color="auto" w:sz="6" w:space="0"/>
              <w:right w:val="single" w:color="auto" w:sz="6" w:space="0"/>
            </w:tcBorders>
            <w:noWrap w:val="0"/>
            <w:vAlign w:val="center"/>
          </w:tcPr>
          <w:p w14:paraId="14AC6DB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28" w:type="pct"/>
            <w:tcBorders>
              <w:top w:val="single" w:color="auto" w:sz="6" w:space="0"/>
              <w:left w:val="single" w:color="auto" w:sz="6" w:space="0"/>
              <w:bottom w:val="single" w:color="auto" w:sz="6" w:space="0"/>
              <w:right w:val="single" w:color="auto" w:sz="6" w:space="0"/>
            </w:tcBorders>
            <w:noWrap w:val="0"/>
            <w:vAlign w:val="center"/>
          </w:tcPr>
          <w:p w14:paraId="51B0C80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401" w:type="pct"/>
            <w:tcBorders>
              <w:top w:val="single" w:color="auto" w:sz="6" w:space="0"/>
              <w:left w:val="single" w:color="auto" w:sz="6" w:space="0"/>
              <w:bottom w:val="single" w:color="auto" w:sz="6" w:space="0"/>
              <w:right w:val="single" w:color="auto" w:sz="6" w:space="0"/>
            </w:tcBorders>
            <w:noWrap w:val="0"/>
            <w:vAlign w:val="center"/>
          </w:tcPr>
          <w:p w14:paraId="2FB9B7E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633" w:type="pct"/>
            <w:tcBorders>
              <w:top w:val="single" w:color="auto" w:sz="6" w:space="0"/>
              <w:left w:val="single" w:color="auto" w:sz="6" w:space="0"/>
              <w:bottom w:val="single" w:color="auto" w:sz="6" w:space="0"/>
              <w:right w:val="single" w:color="auto" w:sz="6" w:space="0"/>
            </w:tcBorders>
            <w:noWrap w:val="0"/>
            <w:vAlign w:val="center"/>
          </w:tcPr>
          <w:p w14:paraId="5CFEC33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511" w:type="pct"/>
            <w:tcBorders>
              <w:top w:val="single" w:color="auto" w:sz="6" w:space="0"/>
              <w:left w:val="single" w:color="auto" w:sz="6" w:space="0"/>
              <w:bottom w:val="single" w:color="auto" w:sz="6" w:space="0"/>
              <w:right w:val="single" w:color="auto" w:sz="6" w:space="0"/>
            </w:tcBorders>
            <w:noWrap w:val="0"/>
            <w:vAlign w:val="center"/>
          </w:tcPr>
          <w:p w14:paraId="0266746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578" w:type="pct"/>
            <w:tcBorders>
              <w:top w:val="single" w:color="auto" w:sz="6" w:space="0"/>
              <w:left w:val="single" w:color="auto" w:sz="6" w:space="0"/>
              <w:bottom w:val="single" w:color="auto" w:sz="6" w:space="0"/>
              <w:right w:val="single" w:color="auto" w:sz="6" w:space="0"/>
            </w:tcBorders>
            <w:noWrap w:val="0"/>
            <w:vAlign w:val="center"/>
          </w:tcPr>
          <w:p w14:paraId="41DCE85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c>
          <w:tcPr>
            <w:tcW w:w="770" w:type="pct"/>
            <w:tcBorders>
              <w:top w:val="single" w:color="auto" w:sz="6" w:space="0"/>
              <w:left w:val="single" w:color="auto" w:sz="6" w:space="0"/>
              <w:bottom w:val="single" w:color="auto" w:sz="6" w:space="0"/>
              <w:right w:val="single" w:color="auto" w:sz="6" w:space="0"/>
            </w:tcBorders>
            <w:noWrap w:val="0"/>
            <w:vAlign w:val="center"/>
          </w:tcPr>
          <w:p w14:paraId="1F473DE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p>
        </w:tc>
      </w:tr>
      <w:tr w14:paraId="5D8F3FFC">
        <w:tblPrEx>
          <w:tblCellMar>
            <w:top w:w="0" w:type="dxa"/>
            <w:left w:w="30" w:type="dxa"/>
            <w:bottom w:w="0" w:type="dxa"/>
            <w:right w:w="30" w:type="dxa"/>
          </w:tblCellMar>
        </w:tblPrEx>
        <w:trPr>
          <w:trHeight w:val="689" w:hRule="atLeast"/>
        </w:trPr>
        <w:tc>
          <w:tcPr>
            <w:tcW w:w="4229" w:type="pct"/>
            <w:gridSpan w:val="8"/>
            <w:tcBorders>
              <w:top w:val="single" w:color="auto" w:sz="6" w:space="0"/>
              <w:left w:val="single" w:color="auto" w:sz="6" w:space="0"/>
              <w:bottom w:val="single" w:color="auto" w:sz="6" w:space="0"/>
              <w:right w:val="single" w:color="auto" w:sz="6" w:space="0"/>
            </w:tcBorders>
            <w:noWrap w:val="0"/>
            <w:vAlign w:val="center"/>
          </w:tcPr>
          <w:p w14:paraId="7FA76AF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rPr>
            </w:pPr>
            <w:r>
              <w:rPr>
                <w:rFonts w:hint="default" w:ascii="Times New Roman" w:hAnsi="Times New Roman" w:eastAsia="仿宋_GB2312" w:cs="Times New Roman"/>
                <w:color w:val="auto"/>
                <w:kern w:val="0"/>
                <w:sz w:val="24"/>
                <w:highlight w:val="none"/>
                <w:u w:val="none"/>
              </w:rPr>
              <w:t>合</w:t>
            </w:r>
            <w:r>
              <w:rPr>
                <w:rFonts w:hint="default" w:ascii="Times New Roman" w:hAnsi="Times New Roman" w:eastAsia="仿宋_GB2312" w:cs="Times New Roman"/>
                <w:color w:val="auto"/>
                <w:kern w:val="0"/>
                <w:sz w:val="24"/>
                <w:highlight w:val="none"/>
                <w:u w:val="none"/>
              </w:rPr>
              <w:t xml:space="preserve">        </w:t>
            </w:r>
            <w:r>
              <w:rPr>
                <w:rFonts w:hint="default" w:ascii="Times New Roman" w:hAnsi="Times New Roman" w:eastAsia="仿宋_GB2312" w:cs="Times New Roman"/>
                <w:color w:val="auto"/>
                <w:kern w:val="0"/>
                <w:sz w:val="24"/>
                <w:highlight w:val="none"/>
                <w:u w:val="none"/>
              </w:rPr>
              <w:t>计</w:t>
            </w:r>
          </w:p>
        </w:tc>
        <w:tc>
          <w:tcPr>
            <w:tcW w:w="770" w:type="pct"/>
            <w:tcBorders>
              <w:top w:val="single" w:color="auto" w:sz="6" w:space="0"/>
              <w:left w:val="single" w:color="auto" w:sz="6" w:space="0"/>
              <w:bottom w:val="single" w:color="auto" w:sz="6" w:space="0"/>
              <w:right w:val="single" w:color="auto" w:sz="6" w:space="0"/>
            </w:tcBorders>
            <w:noWrap w:val="0"/>
            <w:vAlign w:val="center"/>
          </w:tcPr>
          <w:p w14:paraId="453C57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仿宋_GB2312" w:cs="Times New Roman"/>
                <w:color w:val="auto"/>
                <w:kern w:val="0"/>
                <w:sz w:val="24"/>
                <w:highlight w:val="none"/>
                <w:u w:val="none"/>
                <w:lang w:val="en-US" w:eastAsia="zh-CN"/>
              </w:rPr>
            </w:pPr>
          </w:p>
        </w:tc>
      </w:tr>
      <w:tr w14:paraId="67F05E48">
        <w:tblPrEx>
          <w:tblCellMar>
            <w:top w:w="0" w:type="dxa"/>
            <w:left w:w="30" w:type="dxa"/>
            <w:bottom w:w="0" w:type="dxa"/>
            <w:right w:w="30" w:type="dxa"/>
          </w:tblCellMar>
        </w:tblPrEx>
        <w:trPr>
          <w:trHeight w:val="1196" w:hRule="atLeast"/>
        </w:trPr>
        <w:tc>
          <w:tcPr>
            <w:tcW w:w="5000" w:type="pct"/>
            <w:gridSpan w:val="9"/>
            <w:tcBorders>
              <w:top w:val="single" w:color="auto" w:sz="6" w:space="0"/>
              <w:left w:val="single" w:color="auto" w:sz="6" w:space="0"/>
              <w:bottom w:val="single" w:color="auto" w:sz="6" w:space="0"/>
              <w:right w:val="single" w:color="auto" w:sz="6" w:space="0"/>
            </w:tcBorders>
            <w:noWrap w:val="0"/>
            <w:vAlign w:val="top"/>
          </w:tcPr>
          <w:p w14:paraId="61EBB42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 w:val="20"/>
                <w:szCs w:val="20"/>
                <w:highlight w:val="none"/>
                <w:u w:val="none"/>
              </w:rPr>
            </w:pPr>
            <w:r>
              <w:rPr>
                <w:rFonts w:hint="default" w:ascii="Times New Roman" w:hAnsi="Times New Roman" w:eastAsia="仿宋_GB2312" w:cs="Times New Roman"/>
                <w:b/>
                <w:bCs/>
                <w:color w:val="auto"/>
                <w:sz w:val="20"/>
                <w:szCs w:val="20"/>
                <w:highlight w:val="none"/>
                <w:u w:val="none"/>
                <w:lang w:eastAsia="zh-CN"/>
              </w:rPr>
              <w:t>申</w:t>
            </w:r>
            <w:r>
              <w:rPr>
                <w:rFonts w:hint="default" w:ascii="Times New Roman" w:hAnsi="Times New Roman" w:eastAsia="仿宋_GB2312" w:cs="Times New Roman"/>
                <w:b/>
                <w:bCs/>
                <w:color w:val="auto"/>
                <w:sz w:val="20"/>
                <w:szCs w:val="20"/>
                <w:highlight w:val="none"/>
                <w:u w:val="none"/>
                <w:lang w:val="en-US" w:eastAsia="zh-CN"/>
              </w:rPr>
              <w:t>请</w:t>
            </w:r>
            <w:r>
              <w:rPr>
                <w:rFonts w:hint="default" w:ascii="Times New Roman" w:hAnsi="Times New Roman" w:eastAsia="仿宋_GB2312" w:cs="Times New Roman"/>
                <w:b/>
                <w:bCs/>
                <w:color w:val="auto"/>
                <w:sz w:val="20"/>
                <w:szCs w:val="20"/>
                <w:highlight w:val="none"/>
                <w:u w:val="none"/>
              </w:rPr>
              <w:t>单位承诺：</w:t>
            </w:r>
            <w:r>
              <w:rPr>
                <w:rFonts w:hint="default" w:ascii="Times New Roman" w:hAnsi="Times New Roman" w:eastAsia="仿宋_GB2312" w:cs="Times New Roman"/>
                <w:color w:val="auto"/>
                <w:sz w:val="20"/>
                <w:szCs w:val="20"/>
                <w:highlight w:val="none"/>
                <w:u w:val="none"/>
              </w:rPr>
              <w:t xml:space="preserve"> </w:t>
            </w:r>
          </w:p>
          <w:p w14:paraId="06C71329">
            <w:pPr>
              <w:keepNext w:val="0"/>
              <w:keepLines w:val="0"/>
              <w:pageBreakBefore w:val="0"/>
              <w:widowControl w:val="0"/>
              <w:kinsoku/>
              <w:wordWrap/>
              <w:overflowPunct/>
              <w:topLinePunct w:val="0"/>
              <w:autoSpaceDE/>
              <w:autoSpaceDN/>
              <w:bidi w:val="0"/>
              <w:adjustRightInd/>
              <w:snapToGrid/>
              <w:spacing w:line="360" w:lineRule="exact"/>
              <w:ind w:firstLine="400" w:firstLineChars="200"/>
              <w:textAlignment w:val="auto"/>
              <w:rPr>
                <w:rFonts w:hint="default" w:ascii="Times New Roman" w:hAnsi="Times New Roman" w:eastAsia="仿宋_GB2312" w:cs="Times New Roman"/>
                <w:color w:val="auto"/>
                <w:sz w:val="20"/>
                <w:szCs w:val="20"/>
                <w:highlight w:val="none"/>
                <w:u w:val="none"/>
              </w:rPr>
            </w:pPr>
            <w:r>
              <w:rPr>
                <w:rFonts w:hint="default" w:ascii="Times New Roman" w:hAnsi="Times New Roman" w:eastAsia="仿宋_GB2312" w:cs="Times New Roman"/>
                <w:color w:val="auto"/>
                <w:sz w:val="20"/>
                <w:szCs w:val="20"/>
                <w:highlight w:val="none"/>
                <w:u w:val="none"/>
              </w:rPr>
              <w:t>本单位承诺申请表中所填写的各栏目内容真实、准确</w:t>
            </w:r>
            <w:r>
              <w:rPr>
                <w:rFonts w:hint="default" w:ascii="Times New Roman" w:hAnsi="Times New Roman" w:eastAsia="仿宋_GB2312" w:cs="Times New Roman"/>
                <w:color w:val="auto"/>
                <w:sz w:val="20"/>
                <w:szCs w:val="20"/>
                <w:highlight w:val="none"/>
                <w:u w:val="none"/>
                <w:lang w:eastAsia="zh-CN"/>
              </w:rPr>
              <w:t>，</w:t>
            </w:r>
            <w:r>
              <w:rPr>
                <w:rFonts w:hint="default" w:ascii="Times New Roman" w:hAnsi="Times New Roman" w:eastAsia="仿宋_GB2312" w:cs="Times New Roman"/>
                <w:color w:val="auto"/>
                <w:sz w:val="20"/>
                <w:szCs w:val="20"/>
                <w:highlight w:val="none"/>
                <w:u w:val="none"/>
              </w:rPr>
              <w:t>与</w:t>
            </w:r>
            <w:r>
              <w:rPr>
                <w:rFonts w:hint="default" w:ascii="Times New Roman" w:hAnsi="Times New Roman" w:eastAsia="仿宋_GB2312" w:cs="Times New Roman"/>
                <w:color w:val="auto"/>
                <w:sz w:val="20"/>
                <w:szCs w:val="20"/>
                <w:highlight w:val="none"/>
                <w:u w:val="none"/>
                <w:lang w:val="en-US" w:eastAsia="zh-CN"/>
              </w:rPr>
              <w:t>合同相对方</w:t>
            </w:r>
            <w:r>
              <w:rPr>
                <w:rFonts w:hint="default" w:ascii="Times New Roman" w:hAnsi="Times New Roman" w:eastAsia="仿宋_GB2312" w:cs="Times New Roman"/>
                <w:color w:val="auto"/>
                <w:sz w:val="20"/>
                <w:szCs w:val="20"/>
                <w:highlight w:val="none"/>
                <w:u w:val="none"/>
              </w:rPr>
              <w:t>无关联关系，</w:t>
            </w:r>
            <w:r>
              <w:rPr>
                <w:rFonts w:hint="default" w:ascii="Times New Roman" w:hAnsi="Times New Roman" w:eastAsia="仿宋_GB2312" w:cs="Times New Roman"/>
                <w:color w:val="auto"/>
                <w:sz w:val="20"/>
                <w:szCs w:val="20"/>
                <w:highlight w:val="none"/>
                <w:u w:val="none"/>
                <w:lang w:val="en-US" w:eastAsia="zh-CN"/>
              </w:rPr>
              <w:t>提供的</w:t>
            </w:r>
            <w:r>
              <w:rPr>
                <w:rFonts w:hint="default" w:ascii="Times New Roman" w:hAnsi="Times New Roman" w:eastAsia="仿宋_GB2312" w:cs="Times New Roman"/>
                <w:color w:val="auto"/>
                <w:sz w:val="20"/>
                <w:szCs w:val="20"/>
                <w:highlight w:val="none"/>
                <w:u w:val="none"/>
              </w:rPr>
              <w:t>合同及</w:t>
            </w:r>
            <w:r>
              <w:rPr>
                <w:rFonts w:hint="default" w:ascii="Times New Roman" w:hAnsi="Times New Roman" w:eastAsia="仿宋_GB2312" w:cs="Times New Roman"/>
                <w:color w:val="auto"/>
                <w:sz w:val="20"/>
                <w:szCs w:val="20"/>
                <w:highlight w:val="none"/>
                <w:u w:val="none"/>
                <w:lang w:val="en-US" w:eastAsia="zh-CN"/>
              </w:rPr>
              <w:t>相关</w:t>
            </w:r>
            <w:r>
              <w:rPr>
                <w:rFonts w:hint="default" w:ascii="Times New Roman" w:hAnsi="Times New Roman" w:eastAsia="仿宋_GB2312" w:cs="Times New Roman"/>
                <w:color w:val="auto"/>
                <w:sz w:val="20"/>
                <w:szCs w:val="20"/>
                <w:highlight w:val="none"/>
                <w:u w:val="none"/>
              </w:rPr>
              <w:t>申报材料真实</w:t>
            </w:r>
            <w:r>
              <w:rPr>
                <w:rFonts w:hint="default" w:ascii="Times New Roman" w:hAnsi="Times New Roman" w:eastAsia="仿宋_GB2312" w:cs="Times New Roman"/>
                <w:color w:val="auto"/>
                <w:sz w:val="20"/>
                <w:szCs w:val="20"/>
                <w:highlight w:val="none"/>
                <w:u w:val="none"/>
                <w:lang w:eastAsia="zh-CN"/>
              </w:rPr>
              <w:t>、</w:t>
            </w:r>
            <w:r>
              <w:rPr>
                <w:rFonts w:hint="default" w:ascii="Times New Roman" w:hAnsi="Times New Roman" w:eastAsia="仿宋_GB2312" w:cs="Times New Roman"/>
                <w:color w:val="auto"/>
                <w:sz w:val="20"/>
                <w:szCs w:val="20"/>
                <w:highlight w:val="none"/>
                <w:u w:val="none"/>
              </w:rPr>
              <w:t>有效，</w:t>
            </w:r>
            <w:r>
              <w:rPr>
                <w:rFonts w:hint="default" w:ascii="Times New Roman" w:hAnsi="Times New Roman" w:eastAsia="仿宋_GB2312" w:cs="Times New Roman"/>
                <w:color w:val="auto"/>
                <w:sz w:val="20"/>
                <w:szCs w:val="20"/>
                <w:highlight w:val="none"/>
                <w:u w:val="none"/>
                <w:lang w:val="en-US" w:eastAsia="zh-CN"/>
              </w:rPr>
              <w:t>合同中已注明合同相对方（企业）用券额度且相关服务内容</w:t>
            </w:r>
            <w:r>
              <w:rPr>
                <w:rFonts w:hint="default" w:ascii="Times New Roman" w:hAnsi="Times New Roman" w:eastAsia="仿宋_GB2312" w:cs="Times New Roman"/>
                <w:color w:val="auto"/>
                <w:sz w:val="20"/>
                <w:szCs w:val="20"/>
                <w:highlight w:val="none"/>
                <w:u w:val="none"/>
              </w:rPr>
              <w:t>未</w:t>
            </w:r>
            <w:r>
              <w:rPr>
                <w:rFonts w:hint="default" w:ascii="Times New Roman" w:hAnsi="Times New Roman" w:eastAsia="仿宋_GB2312" w:cs="Times New Roman"/>
                <w:color w:val="auto"/>
                <w:sz w:val="20"/>
                <w:szCs w:val="20"/>
                <w:highlight w:val="none"/>
                <w:u w:val="none"/>
              </w:rPr>
              <w:t>列入各级</w:t>
            </w:r>
            <w:r>
              <w:rPr>
                <w:rFonts w:hint="default" w:ascii="Times New Roman" w:hAnsi="Times New Roman" w:eastAsia="仿宋_GB2312" w:cs="Times New Roman"/>
                <w:color w:val="auto"/>
                <w:sz w:val="20"/>
                <w:szCs w:val="20"/>
                <w:highlight w:val="none"/>
                <w:u w:val="none"/>
                <w:lang w:val="en-US" w:eastAsia="zh-CN"/>
              </w:rPr>
              <w:t>财政</w:t>
            </w:r>
            <w:r>
              <w:rPr>
                <w:rFonts w:hint="default" w:ascii="Times New Roman" w:hAnsi="Times New Roman" w:eastAsia="仿宋_GB2312" w:cs="Times New Roman"/>
                <w:color w:val="auto"/>
                <w:sz w:val="20"/>
                <w:szCs w:val="20"/>
                <w:highlight w:val="none"/>
                <w:u w:val="none"/>
              </w:rPr>
              <w:t>专项资金</w:t>
            </w:r>
            <w:r>
              <w:rPr>
                <w:rFonts w:hint="default" w:ascii="Times New Roman" w:hAnsi="Times New Roman" w:eastAsia="仿宋_GB2312" w:cs="Times New Roman"/>
                <w:color w:val="auto"/>
                <w:sz w:val="20"/>
                <w:szCs w:val="20"/>
                <w:highlight w:val="none"/>
                <w:u w:val="none"/>
                <w:lang w:val="en-US" w:eastAsia="zh-CN"/>
              </w:rPr>
              <w:t>或政策</w:t>
            </w:r>
            <w:r>
              <w:rPr>
                <w:rFonts w:hint="default" w:ascii="Times New Roman" w:hAnsi="Times New Roman" w:eastAsia="仿宋_GB2312" w:cs="Times New Roman"/>
                <w:color w:val="auto"/>
                <w:sz w:val="20"/>
                <w:szCs w:val="20"/>
                <w:highlight w:val="none"/>
                <w:u w:val="none"/>
              </w:rPr>
              <w:t>资助</w:t>
            </w:r>
            <w:r>
              <w:rPr>
                <w:rFonts w:hint="default" w:ascii="Times New Roman" w:hAnsi="Times New Roman" w:eastAsia="仿宋_GB2312" w:cs="Times New Roman"/>
                <w:color w:val="auto"/>
                <w:sz w:val="20"/>
                <w:szCs w:val="20"/>
                <w:highlight w:val="none"/>
                <w:u w:val="none"/>
                <w:lang w:eastAsia="zh-CN"/>
              </w:rPr>
              <w:t>，</w:t>
            </w:r>
            <w:r>
              <w:rPr>
                <w:rFonts w:hint="default" w:ascii="Times New Roman" w:hAnsi="Times New Roman" w:eastAsia="仿宋_GB2312" w:cs="Times New Roman"/>
                <w:color w:val="auto"/>
                <w:sz w:val="20"/>
                <w:szCs w:val="20"/>
                <w:highlight w:val="none"/>
                <w:u w:val="none"/>
                <w:lang w:val="en-US" w:eastAsia="zh-CN"/>
              </w:rPr>
              <w:t>符合《关于深化生产性服务业与先进制造业“两业融合” 加快培育新质生产力的若干举措》“知识产权服务券”申领和使用要求</w:t>
            </w:r>
            <w:r>
              <w:rPr>
                <w:rFonts w:hint="default" w:ascii="Times New Roman" w:hAnsi="Times New Roman" w:eastAsia="仿宋_GB2312" w:cs="Times New Roman"/>
                <w:color w:val="auto"/>
                <w:sz w:val="20"/>
                <w:szCs w:val="20"/>
                <w:highlight w:val="none"/>
                <w:u w:val="none"/>
              </w:rPr>
              <w:t>。</w:t>
            </w:r>
            <w:r>
              <w:rPr>
                <w:rFonts w:hint="default" w:ascii="Times New Roman" w:hAnsi="Times New Roman" w:eastAsia="仿宋_GB2312" w:cs="Times New Roman"/>
                <w:color w:val="auto"/>
                <w:sz w:val="20"/>
                <w:szCs w:val="20"/>
                <w:highlight w:val="none"/>
                <w:u w:val="none"/>
                <w:lang w:val="en-US" w:eastAsia="zh-CN"/>
              </w:rPr>
              <w:t>合同相对方提交的材料已经本单位核实，</w:t>
            </w:r>
            <w:r>
              <w:rPr>
                <w:rFonts w:hint="default" w:ascii="Times New Roman" w:hAnsi="Times New Roman" w:eastAsia="仿宋_GB2312" w:cs="Times New Roman"/>
                <w:color w:val="auto"/>
                <w:sz w:val="20"/>
                <w:szCs w:val="20"/>
                <w:highlight w:val="none"/>
                <w:u w:val="none"/>
              </w:rPr>
              <w:t>如</w:t>
            </w:r>
            <w:r>
              <w:rPr>
                <w:rFonts w:hint="default" w:ascii="Times New Roman" w:hAnsi="Times New Roman" w:eastAsia="仿宋_GB2312" w:cs="Times New Roman"/>
                <w:color w:val="auto"/>
                <w:sz w:val="20"/>
                <w:szCs w:val="20"/>
                <w:highlight w:val="none"/>
                <w:u w:val="none"/>
                <w:lang w:val="en-US" w:eastAsia="zh-CN"/>
              </w:rPr>
              <w:t>合同双方</w:t>
            </w:r>
            <w:r>
              <w:rPr>
                <w:rFonts w:hint="default" w:ascii="Times New Roman" w:hAnsi="Times New Roman" w:eastAsia="仿宋_GB2312" w:cs="Times New Roman"/>
                <w:color w:val="auto"/>
                <w:sz w:val="20"/>
                <w:szCs w:val="20"/>
                <w:highlight w:val="none"/>
                <w:u w:val="none"/>
              </w:rPr>
              <w:t>提供</w:t>
            </w:r>
            <w:r>
              <w:rPr>
                <w:rFonts w:hint="default" w:ascii="Times New Roman" w:hAnsi="Times New Roman" w:eastAsia="仿宋_GB2312" w:cs="Times New Roman"/>
                <w:color w:val="auto"/>
                <w:sz w:val="20"/>
                <w:szCs w:val="20"/>
                <w:highlight w:val="none"/>
                <w:u w:val="none"/>
                <w:lang w:eastAsia="zh-CN"/>
              </w:rPr>
              <w:t>的</w:t>
            </w:r>
            <w:r>
              <w:rPr>
                <w:rFonts w:hint="default" w:ascii="Times New Roman" w:hAnsi="Times New Roman" w:eastAsia="仿宋_GB2312" w:cs="Times New Roman"/>
                <w:color w:val="auto"/>
                <w:sz w:val="20"/>
                <w:szCs w:val="20"/>
                <w:highlight w:val="none"/>
                <w:u w:val="none"/>
              </w:rPr>
              <w:t>资料和情况与上述承诺不符，</w:t>
            </w:r>
            <w:r>
              <w:rPr>
                <w:rFonts w:hint="default" w:ascii="Times New Roman" w:hAnsi="Times New Roman" w:eastAsia="仿宋_GB2312" w:cs="Times New Roman"/>
                <w:color w:val="auto"/>
                <w:sz w:val="20"/>
                <w:szCs w:val="20"/>
                <w:highlight w:val="none"/>
                <w:u w:val="none"/>
                <w:lang w:val="en-US" w:eastAsia="zh-CN"/>
              </w:rPr>
              <w:t>本</w:t>
            </w:r>
            <w:r>
              <w:rPr>
                <w:rFonts w:hint="default" w:ascii="Times New Roman" w:hAnsi="Times New Roman" w:eastAsia="仿宋_GB2312" w:cs="Times New Roman"/>
                <w:color w:val="auto"/>
                <w:sz w:val="20"/>
                <w:szCs w:val="20"/>
                <w:highlight w:val="none"/>
                <w:u w:val="none"/>
              </w:rPr>
              <w:t>单位愿承担全部法律责任。</w:t>
            </w:r>
          </w:p>
          <w:p w14:paraId="1409E6B7">
            <w:pPr>
              <w:keepNext w:val="0"/>
              <w:keepLines w:val="0"/>
              <w:pageBreakBefore w:val="0"/>
              <w:widowControl w:val="0"/>
              <w:kinsoku/>
              <w:wordWrap/>
              <w:overflowPunct/>
              <w:topLinePunct w:val="0"/>
              <w:autoSpaceDE/>
              <w:autoSpaceDN/>
              <w:bidi w:val="0"/>
              <w:adjustRightInd/>
              <w:snapToGrid/>
              <w:spacing w:line="360" w:lineRule="exact"/>
              <w:ind w:firstLine="8200" w:firstLineChars="4100"/>
              <w:textAlignment w:val="auto"/>
              <w:rPr>
                <w:rFonts w:hint="default" w:ascii="Times New Roman" w:hAnsi="Times New Roman" w:eastAsia="仿宋_GB2312" w:cs="Times New Roman"/>
                <w:color w:val="auto"/>
                <w:sz w:val="20"/>
                <w:szCs w:val="20"/>
                <w:highlight w:val="none"/>
                <w:u w:val="none"/>
              </w:rPr>
            </w:pPr>
            <w:r>
              <w:rPr>
                <w:rFonts w:hint="default" w:ascii="Times New Roman" w:hAnsi="Times New Roman" w:eastAsia="仿宋_GB2312" w:cs="Times New Roman"/>
                <w:color w:val="auto"/>
                <w:sz w:val="20"/>
                <w:szCs w:val="20"/>
                <w:highlight w:val="none"/>
                <w:u w:val="none"/>
                <w:lang w:val="en-US" w:eastAsia="zh-CN"/>
              </w:rPr>
              <w:t xml:space="preserve">                     </w:t>
            </w:r>
            <w:r>
              <w:rPr>
                <w:rFonts w:hint="default" w:ascii="Times New Roman" w:hAnsi="Times New Roman" w:eastAsia="仿宋_GB2312" w:cs="Times New Roman"/>
                <w:color w:val="auto"/>
                <w:sz w:val="20"/>
                <w:szCs w:val="20"/>
                <w:highlight w:val="none"/>
                <w:u w:val="none"/>
              </w:rPr>
              <w:t>申</w:t>
            </w:r>
            <w:r>
              <w:rPr>
                <w:rFonts w:hint="default" w:ascii="Times New Roman" w:hAnsi="Times New Roman" w:eastAsia="仿宋_GB2312" w:cs="Times New Roman"/>
                <w:color w:val="auto"/>
                <w:sz w:val="20"/>
                <w:szCs w:val="20"/>
                <w:highlight w:val="none"/>
                <w:u w:val="none"/>
                <w:lang w:val="en-US" w:eastAsia="zh-CN"/>
              </w:rPr>
              <w:t>请</w:t>
            </w:r>
            <w:r>
              <w:rPr>
                <w:rFonts w:hint="default" w:ascii="Times New Roman" w:hAnsi="Times New Roman" w:eastAsia="仿宋_GB2312" w:cs="Times New Roman"/>
                <w:color w:val="auto"/>
                <w:sz w:val="20"/>
                <w:szCs w:val="20"/>
                <w:highlight w:val="none"/>
                <w:u w:val="none"/>
              </w:rPr>
              <w:t xml:space="preserve">单位（盖章）： </w:t>
            </w:r>
          </w:p>
        </w:tc>
      </w:tr>
    </w:tbl>
    <w:p w14:paraId="77E8FBF7">
      <w:pPr>
        <w:keepNext w:val="0"/>
        <w:keepLines w:val="0"/>
        <w:pageBreakBefore w:val="0"/>
        <w:kinsoku/>
        <w:wordWrap/>
        <w:overflowPunct/>
        <w:topLinePunct w:val="0"/>
        <w:bidi w:val="0"/>
        <w:spacing w:line="560" w:lineRule="exact"/>
        <w:jc w:val="left"/>
        <w:rPr>
          <w:rFonts w:hint="default" w:ascii="Times New Roman" w:hAnsi="Times New Roman" w:eastAsia="黑体" w:cs="Times New Roman"/>
          <w:b w:val="0"/>
          <w:bCs w:val="0"/>
          <w:color w:val="auto"/>
          <w:kern w:val="0"/>
          <w:sz w:val="32"/>
          <w:szCs w:val="32"/>
          <w:highlight w:val="none"/>
          <w:u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0"/>
        <w:tblW w:w="891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
        <w:gridCol w:w="1290"/>
        <w:gridCol w:w="1012"/>
        <w:gridCol w:w="6510"/>
      </w:tblGrid>
      <w:tr w14:paraId="603C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05" w:type="dxa"/>
          <w:trHeight w:val="277" w:hRule="atLeast"/>
        </w:trPr>
        <w:tc>
          <w:tcPr>
            <w:tcW w:w="8812" w:type="dxa"/>
            <w:gridSpan w:val="3"/>
            <w:tcBorders>
              <w:top w:val="nil"/>
              <w:left w:val="nil"/>
              <w:bottom w:val="nil"/>
              <w:right w:val="nil"/>
            </w:tcBorders>
            <w:noWrap/>
            <w:vAlign w:val="bottom"/>
          </w:tcPr>
          <w:p w14:paraId="031287AC">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lang w:val="en-US" w:eastAsia="zh-CN"/>
              </w:rPr>
              <w:t>附件4-1</w:t>
            </w:r>
          </w:p>
          <w:p w14:paraId="68133D5C">
            <w:pPr>
              <w:pStyle w:val="6"/>
              <w:rPr>
                <w:rFonts w:hint="default" w:ascii="Times New Roman" w:hAnsi="Times New Roman" w:cs="Times New Roman"/>
              </w:rPr>
            </w:pPr>
          </w:p>
        </w:tc>
      </w:tr>
      <w:tr w14:paraId="47EC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917" w:type="dxa"/>
            <w:gridSpan w:val="4"/>
            <w:tcBorders>
              <w:top w:val="single" w:color="000000" w:sz="4" w:space="0"/>
              <w:left w:val="single" w:color="000000" w:sz="4" w:space="0"/>
              <w:bottom w:val="single" w:color="000000" w:sz="4" w:space="0"/>
              <w:right w:val="single" w:color="000000" w:sz="4" w:space="0"/>
            </w:tcBorders>
            <w:noWrap/>
            <w:vAlign w:val="center"/>
          </w:tcPr>
          <w:p w14:paraId="6FE2A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广州开发区 广州市黄埔区知识产权服务券申领机构年度考核指标</w:t>
            </w:r>
          </w:p>
          <w:p w14:paraId="3A360A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（从事经营活动满一年）</w:t>
            </w:r>
          </w:p>
        </w:tc>
      </w:tr>
      <w:tr w14:paraId="3352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917" w:type="dxa"/>
            <w:gridSpan w:val="4"/>
            <w:tcBorders>
              <w:top w:val="single" w:color="000000" w:sz="4" w:space="0"/>
              <w:left w:val="single" w:color="000000" w:sz="4" w:space="0"/>
              <w:bottom w:val="single" w:color="000000" w:sz="4" w:space="0"/>
              <w:right w:val="single" w:color="000000" w:sz="4" w:space="0"/>
            </w:tcBorders>
            <w:noWrap/>
            <w:vAlign w:val="center"/>
          </w:tcPr>
          <w:p w14:paraId="094093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w:t>
            </w:r>
          </w:p>
        </w:tc>
      </w:tr>
      <w:tr w14:paraId="20E1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4E5A3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大类指标</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254EBF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小类指标</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5E164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color w:val="000000"/>
                <w:kern w:val="0"/>
                <w:sz w:val="22"/>
                <w:highlight w:val="none"/>
                <w:u w:val="none"/>
                <w:lang w:val="en-US" w:eastAsia="zh-CN" w:bidi="ar"/>
              </w:rPr>
              <w:t>具体内容</w:t>
            </w:r>
          </w:p>
        </w:tc>
      </w:tr>
      <w:tr w14:paraId="3993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13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12B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服务券发放实施情况</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051B4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发券率</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0CB9E9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已发放使用知识产权服务券占配额服务券比例。</w:t>
            </w:r>
          </w:p>
        </w:tc>
      </w:tr>
      <w:tr w14:paraId="29F7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3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F0660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74B6E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i w:val="0"/>
                <w:iCs w:val="0"/>
                <w:color w:val="000000"/>
                <w:sz w:val="22"/>
                <w:szCs w:val="22"/>
                <w:highlight w:val="none"/>
                <w:u w:val="none"/>
                <w:lang w:val="en-US" w:eastAsia="zh-CN"/>
              </w:rPr>
              <w:t>媒体宣传</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188998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w:t>
            </w:r>
            <w:r>
              <w:rPr>
                <w:rFonts w:hint="default" w:ascii="Times New Roman" w:hAnsi="Times New Roman" w:eastAsia="仿宋_GB2312" w:cs="Times New Roman"/>
                <w:color w:val="000000"/>
                <w:kern w:val="0"/>
                <w:sz w:val="22"/>
                <w:highlight w:val="none"/>
                <w:u w:val="none"/>
                <w:lang w:bidi="ar"/>
              </w:rPr>
              <w:t>在区级以上专业媒体或境外媒体发布典型案例</w:t>
            </w:r>
            <w:r>
              <w:rPr>
                <w:rFonts w:hint="default" w:ascii="Times New Roman" w:hAnsi="Times New Roman" w:eastAsia="仿宋_GB2312" w:cs="Times New Roman"/>
                <w:i w:val="0"/>
                <w:iCs w:val="0"/>
                <w:color w:val="000000"/>
                <w:kern w:val="0"/>
                <w:sz w:val="22"/>
                <w:szCs w:val="22"/>
                <w:highlight w:val="none"/>
                <w:u w:val="none"/>
                <w:lang w:val="en-US" w:eastAsia="zh-CN" w:bidi="ar"/>
              </w:rPr>
              <w:t>数量。同一案例不重复计算。</w:t>
            </w:r>
          </w:p>
        </w:tc>
      </w:tr>
      <w:tr w14:paraId="735B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13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59E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机构发展情况</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6A95A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营业收入增长情况</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0CE876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服务券发放实施后一年内营业收入</w:t>
            </w:r>
            <w:r>
              <w:rPr>
                <w:rFonts w:hint="default" w:ascii="Times New Roman" w:hAnsi="Times New Roman" w:eastAsia="仿宋_GB2312" w:cs="Times New Roman"/>
                <w:i w:val="0"/>
                <w:iCs w:val="0"/>
                <w:color w:val="000000"/>
                <w:kern w:val="0"/>
                <w:sz w:val="22"/>
                <w:szCs w:val="22"/>
                <w:highlight w:val="none"/>
                <w:u w:val="none"/>
                <w:lang w:val="en-US" w:eastAsia="zh-CN" w:bidi="ar"/>
              </w:rPr>
              <w:t>基于</w:t>
            </w:r>
            <w:r>
              <w:rPr>
                <w:rFonts w:hint="default" w:ascii="Times New Roman" w:hAnsi="Times New Roman" w:eastAsia="仿宋_GB2312" w:cs="Times New Roman"/>
                <w:i w:val="0"/>
                <w:iCs w:val="0"/>
                <w:color w:val="000000"/>
                <w:kern w:val="0"/>
                <w:sz w:val="22"/>
                <w:szCs w:val="22"/>
                <w:highlight w:val="none"/>
                <w:u w:val="none"/>
                <w:lang w:val="en-US" w:eastAsia="zh-CN" w:bidi="ar"/>
              </w:rPr>
              <w:t>遴选时目标</w:t>
            </w:r>
            <w:r>
              <w:rPr>
                <w:rFonts w:hint="default" w:ascii="Times New Roman" w:hAnsi="Times New Roman" w:eastAsia="仿宋_GB2312" w:cs="Times New Roman"/>
                <w:i w:val="0"/>
                <w:iCs w:val="0"/>
                <w:color w:val="000000"/>
                <w:kern w:val="0"/>
                <w:sz w:val="22"/>
                <w:szCs w:val="22"/>
                <w:highlight w:val="none"/>
                <w:u w:val="none"/>
                <w:lang w:val="en-US" w:eastAsia="zh-CN" w:bidi="ar"/>
              </w:rPr>
              <w:t>营业收入增长</w:t>
            </w:r>
            <w:r>
              <w:rPr>
                <w:rFonts w:hint="default" w:ascii="Times New Roman" w:hAnsi="Times New Roman" w:eastAsia="仿宋_GB2312" w:cs="Times New Roman"/>
                <w:i w:val="0"/>
                <w:iCs w:val="0"/>
                <w:color w:val="000000"/>
                <w:kern w:val="0"/>
                <w:sz w:val="22"/>
                <w:szCs w:val="22"/>
                <w:highlight w:val="none"/>
                <w:u w:val="none"/>
                <w:lang w:val="en-US" w:eastAsia="zh-CN" w:bidi="ar"/>
              </w:rPr>
              <w:t>情况。</w:t>
            </w:r>
          </w:p>
        </w:tc>
      </w:tr>
      <w:tr w14:paraId="58B5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13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D5FA8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3EFDDE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员工增长情况</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090C6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年度考核前一个月缴纳社保的员工数量相比申报前一个月</w:t>
            </w:r>
            <w:r>
              <w:rPr>
                <w:rFonts w:hint="default" w:ascii="Times New Roman" w:hAnsi="Times New Roman" w:eastAsia="仿宋_GB2312" w:cs="Times New Roman"/>
                <w:color w:val="000000"/>
                <w:kern w:val="0"/>
                <w:sz w:val="22"/>
                <w:highlight w:val="none"/>
                <w:u w:val="none"/>
                <w:lang w:bidi="ar"/>
              </w:rPr>
              <w:t>缴纳社保的员工数量</w:t>
            </w:r>
            <w:r>
              <w:rPr>
                <w:rFonts w:hint="default" w:ascii="Times New Roman" w:hAnsi="Times New Roman" w:eastAsia="仿宋_GB2312" w:cs="Times New Roman"/>
                <w:i w:val="0"/>
                <w:iCs w:val="0"/>
                <w:color w:val="000000"/>
                <w:kern w:val="0"/>
                <w:sz w:val="22"/>
                <w:szCs w:val="22"/>
                <w:highlight w:val="none"/>
                <w:u w:val="none"/>
                <w:lang w:val="en-US" w:eastAsia="zh-CN" w:bidi="ar"/>
              </w:rPr>
              <w:t>增长情况。</w:t>
            </w:r>
          </w:p>
        </w:tc>
      </w:tr>
      <w:tr w14:paraId="52A3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13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E6F97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28EB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上级荣誉</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08356E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w:t>
            </w:r>
            <w:r>
              <w:rPr>
                <w:rFonts w:hint="default" w:ascii="Times New Roman" w:hAnsi="Times New Roman" w:eastAsia="仿宋_GB2312" w:cs="Times New Roman"/>
                <w:color w:val="000000"/>
                <w:kern w:val="0"/>
                <w:sz w:val="22"/>
                <w:highlight w:val="none"/>
                <w:u w:val="none"/>
                <w:lang w:bidi="ar"/>
              </w:rPr>
              <w:t>获评区级以上行政、司法部门或行业组织评定的资质、颁发的奖项或典型案例情况及各级知识产权领军人才、拔尖人才等高层次人才数量。含获评全国知识产权品牌服务机构、中华全国专利代理师协会专利代理机构等级认定、中华商标协会商标代理机构等级认定、各级知识产权服务业分级分类等级评定、各级知识产权公共服务网点、TISC等，同一类型不重复得分</w:t>
            </w:r>
            <w:r>
              <w:rPr>
                <w:rFonts w:hint="default" w:ascii="Times New Roman" w:hAnsi="Times New Roman" w:eastAsia="仿宋_GB2312" w:cs="Times New Roman"/>
                <w:i w:val="0"/>
                <w:iCs w:val="0"/>
                <w:color w:val="000000"/>
                <w:kern w:val="0"/>
                <w:sz w:val="22"/>
                <w:szCs w:val="22"/>
                <w:highlight w:val="none"/>
                <w:u w:val="none"/>
                <w:lang w:val="en-US" w:eastAsia="zh-CN" w:bidi="ar"/>
              </w:rPr>
              <w:t>。</w:t>
            </w:r>
          </w:p>
        </w:tc>
      </w:tr>
      <w:tr w14:paraId="7F2A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1AE7A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满意度评价</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46B558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客户服务满意度</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D7300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使用知识产权服务券购买服务的客户满意度。</w:t>
            </w:r>
          </w:p>
        </w:tc>
      </w:tr>
      <w:tr w14:paraId="1FB0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14:paraId="27E28F3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sz w:val="22"/>
                <w:szCs w:val="22"/>
                <w:highlight w:val="none"/>
                <w:u w:val="none"/>
                <w:lang w:val="en-US" w:eastAsia="zh-CN"/>
              </w:rPr>
              <w:t>其他情况</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14:paraId="5A1E4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color w:val="000000"/>
                <w:kern w:val="0"/>
                <w:sz w:val="22"/>
                <w:highlight w:val="none"/>
                <w:u w:val="none"/>
                <w:lang w:val="en-US" w:eastAsia="zh-CN" w:bidi="ar"/>
              </w:rPr>
              <w:t>“两业融合”</w:t>
            </w:r>
            <w:r>
              <w:rPr>
                <w:rFonts w:hint="default" w:ascii="Times New Roman" w:hAnsi="Times New Roman" w:eastAsia="仿宋_GB2312" w:cs="Times New Roman"/>
                <w:color w:val="000000"/>
                <w:kern w:val="0"/>
                <w:sz w:val="22"/>
                <w:highlight w:val="none"/>
                <w:u w:val="none"/>
                <w:lang w:bidi="ar"/>
              </w:rPr>
              <w:t>贡献</w:t>
            </w:r>
            <w:r>
              <w:rPr>
                <w:rFonts w:hint="default" w:ascii="Times New Roman" w:hAnsi="Times New Roman" w:eastAsia="仿宋_GB2312" w:cs="Times New Roman"/>
                <w:color w:val="000000"/>
                <w:kern w:val="0"/>
                <w:sz w:val="22"/>
                <w:highlight w:val="none"/>
                <w:u w:val="none"/>
                <w:lang w:val="en-US" w:eastAsia="zh-CN" w:bidi="ar"/>
              </w:rPr>
              <w:t>情况</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41CC3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服务券发放实施后一年内协助广州开发区知识产权局深化生产性服务业与先进制造业“两业融合”加快培育新质生产力情况。</w:t>
            </w:r>
          </w:p>
        </w:tc>
      </w:tr>
    </w:tbl>
    <w:p w14:paraId="7F9542B0">
      <w:pPr>
        <w:keepNext w:val="0"/>
        <w:keepLines w:val="0"/>
        <w:pageBreakBefore w:val="0"/>
        <w:kinsoku/>
        <w:wordWrap/>
        <w:overflowPunct/>
        <w:topLinePunct w:val="0"/>
        <w:bidi w:val="0"/>
        <w:spacing w:line="560" w:lineRule="exact"/>
        <w:rPr>
          <w:rFonts w:hint="default" w:ascii="Times New Roman" w:hAnsi="Times New Roman" w:cs="Times New Roman"/>
          <w:highlight w:val="none"/>
          <w:u w:val="none"/>
        </w:rPr>
      </w:pPr>
      <w:r>
        <w:rPr>
          <w:rFonts w:hint="default" w:ascii="Times New Roman" w:hAnsi="Times New Roman" w:cs="Times New Roman"/>
          <w:highlight w:val="none"/>
          <w:u w:val="none"/>
        </w:rPr>
        <w:br w:type="page"/>
      </w:r>
    </w:p>
    <w:tbl>
      <w:tblPr>
        <w:tblStyle w:val="10"/>
        <w:tblW w:w="893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
        <w:gridCol w:w="1272"/>
        <w:gridCol w:w="1061"/>
        <w:gridCol w:w="6367"/>
        <w:gridCol w:w="120"/>
      </w:tblGrid>
      <w:tr w14:paraId="7CAA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12" w:type="dxa"/>
          <w:trHeight w:val="277" w:hRule="atLeast"/>
        </w:trPr>
        <w:tc>
          <w:tcPr>
            <w:tcW w:w="8820" w:type="dxa"/>
            <w:gridSpan w:val="4"/>
            <w:tcBorders>
              <w:top w:val="nil"/>
              <w:left w:val="nil"/>
              <w:bottom w:val="nil"/>
              <w:right w:val="nil"/>
            </w:tcBorders>
            <w:noWrap/>
            <w:vAlign w:val="bottom"/>
          </w:tcPr>
          <w:p w14:paraId="1461A4A7">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lang w:val="en-US" w:eastAsia="zh-CN"/>
              </w:rPr>
              <w:t>附件4-2</w:t>
            </w:r>
          </w:p>
          <w:p w14:paraId="21C698C3">
            <w:pPr>
              <w:pStyle w:val="6"/>
              <w:rPr>
                <w:rFonts w:hint="default" w:ascii="Times New Roman" w:hAnsi="Times New Roman" w:cs="Times New Roman"/>
              </w:rPr>
            </w:pPr>
          </w:p>
        </w:tc>
      </w:tr>
      <w:tr w14:paraId="5248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680" w:hRule="atLeast"/>
        </w:trPr>
        <w:tc>
          <w:tcPr>
            <w:tcW w:w="8812" w:type="dxa"/>
            <w:gridSpan w:val="4"/>
            <w:tcBorders>
              <w:top w:val="single" w:color="000000" w:sz="4" w:space="0"/>
              <w:left w:val="single" w:color="000000" w:sz="4" w:space="0"/>
              <w:bottom w:val="single" w:color="000000" w:sz="4" w:space="0"/>
              <w:right w:val="single" w:color="000000" w:sz="4" w:space="0"/>
            </w:tcBorders>
            <w:noWrap w:val="0"/>
            <w:vAlign w:val="center"/>
          </w:tcPr>
          <w:p w14:paraId="6CA0F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广州开发区 广州市黄埔区知识产权服务券申领机构年度考核指标</w:t>
            </w:r>
          </w:p>
          <w:p w14:paraId="72655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（从事经营活动不满一年）</w:t>
            </w:r>
          </w:p>
        </w:tc>
      </w:tr>
      <w:tr w14:paraId="2091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277" w:hRule="atLeast"/>
        </w:trPr>
        <w:tc>
          <w:tcPr>
            <w:tcW w:w="8812" w:type="dxa"/>
            <w:gridSpan w:val="4"/>
            <w:tcBorders>
              <w:top w:val="single" w:color="000000" w:sz="4" w:space="0"/>
              <w:left w:val="single" w:color="000000" w:sz="4" w:space="0"/>
              <w:bottom w:val="single" w:color="000000" w:sz="4" w:space="0"/>
              <w:right w:val="single" w:color="000000" w:sz="4" w:space="0"/>
            </w:tcBorders>
            <w:noWrap w:val="0"/>
            <w:vAlign w:val="center"/>
          </w:tcPr>
          <w:p w14:paraId="486C63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申报单位：</w:t>
            </w:r>
          </w:p>
        </w:tc>
      </w:tr>
      <w:tr w14:paraId="3EEB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540" w:hRule="atLeast"/>
        </w:trPr>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37EBD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大类指标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8205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小类指标</w:t>
            </w:r>
          </w:p>
        </w:tc>
        <w:tc>
          <w:tcPr>
            <w:tcW w:w="6367" w:type="dxa"/>
            <w:tcBorders>
              <w:top w:val="single" w:color="000000" w:sz="4" w:space="0"/>
              <w:left w:val="single" w:color="000000" w:sz="4" w:space="0"/>
              <w:bottom w:val="single" w:color="000000" w:sz="4" w:space="0"/>
              <w:right w:val="single" w:color="000000" w:sz="4" w:space="0"/>
            </w:tcBorders>
            <w:noWrap/>
            <w:vAlign w:val="center"/>
          </w:tcPr>
          <w:p w14:paraId="4DA675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eastAsia="zh-CN"/>
              </w:rPr>
            </w:pPr>
            <w:r>
              <w:rPr>
                <w:rFonts w:hint="default" w:ascii="Times New Roman" w:hAnsi="Times New Roman" w:eastAsia="仿宋_GB2312" w:cs="Times New Roman"/>
                <w:color w:val="000000"/>
                <w:kern w:val="0"/>
                <w:sz w:val="22"/>
                <w:highlight w:val="none"/>
                <w:u w:val="none"/>
                <w:lang w:val="en-US" w:eastAsia="zh-CN" w:bidi="ar"/>
              </w:rPr>
              <w:t>具体内容</w:t>
            </w:r>
          </w:p>
        </w:tc>
      </w:tr>
      <w:tr w14:paraId="6FDF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1111" w:hRule="atLeast"/>
        </w:trPr>
        <w:tc>
          <w:tcPr>
            <w:tcW w:w="13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028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服务券发放实施情况</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878D8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发券率</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57C8B4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已发放使用知识产权服务券占配额服务券比值。</w:t>
            </w:r>
          </w:p>
        </w:tc>
      </w:tr>
      <w:tr w14:paraId="6BEB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799" w:hRule="atLeast"/>
        </w:trPr>
        <w:tc>
          <w:tcPr>
            <w:tcW w:w="13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20F51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23E8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媒体宣传</w:t>
            </w:r>
          </w:p>
        </w:tc>
        <w:tc>
          <w:tcPr>
            <w:tcW w:w="6367" w:type="dxa"/>
            <w:tcBorders>
              <w:top w:val="single" w:color="000000" w:sz="4" w:space="0"/>
              <w:left w:val="single" w:color="000000" w:sz="4" w:space="0"/>
              <w:bottom w:val="single" w:color="000000" w:sz="4" w:space="0"/>
              <w:right w:val="single" w:color="000000" w:sz="4" w:space="0"/>
            </w:tcBorders>
            <w:noWrap/>
            <w:vAlign w:val="center"/>
          </w:tcPr>
          <w:p w14:paraId="4C0B0B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color w:val="000000"/>
                <w:kern w:val="0"/>
                <w:sz w:val="22"/>
                <w:highlight w:val="none"/>
                <w:u w:val="none"/>
                <w:lang w:bidi="ar"/>
              </w:rPr>
              <w:t>服务券发放实施后</w:t>
            </w:r>
            <w:r>
              <w:rPr>
                <w:rFonts w:hint="default" w:ascii="Times New Roman" w:hAnsi="Times New Roman" w:eastAsia="仿宋_GB2312" w:cs="Times New Roman"/>
                <w:color w:val="000000"/>
                <w:kern w:val="0"/>
                <w:sz w:val="22"/>
                <w:highlight w:val="none"/>
                <w:u w:val="none"/>
                <w:lang w:val="en-US" w:eastAsia="zh-CN" w:bidi="ar"/>
              </w:rPr>
              <w:t>一</w:t>
            </w:r>
            <w:r>
              <w:rPr>
                <w:rFonts w:hint="default" w:ascii="Times New Roman" w:hAnsi="Times New Roman" w:eastAsia="仿宋_GB2312" w:cs="Times New Roman"/>
                <w:color w:val="000000"/>
                <w:kern w:val="0"/>
                <w:sz w:val="22"/>
                <w:highlight w:val="none"/>
                <w:u w:val="none"/>
                <w:lang w:bidi="ar"/>
              </w:rPr>
              <w:t>年内在区级以上专业媒体或境外媒体发布典型案例数量。</w:t>
            </w:r>
            <w:r>
              <w:rPr>
                <w:rFonts w:hint="default" w:ascii="Times New Roman" w:hAnsi="Times New Roman" w:eastAsia="仿宋_GB2312" w:cs="Times New Roman"/>
                <w:i w:val="0"/>
                <w:iCs w:val="0"/>
                <w:color w:val="000000"/>
                <w:kern w:val="0"/>
                <w:sz w:val="22"/>
                <w:szCs w:val="22"/>
                <w:highlight w:val="none"/>
                <w:u w:val="none"/>
                <w:lang w:val="en-US" w:eastAsia="zh-CN" w:bidi="ar"/>
              </w:rPr>
              <w:t>同一案例不重复计算。</w:t>
            </w:r>
          </w:p>
        </w:tc>
      </w:tr>
      <w:tr w14:paraId="3197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1583" w:hRule="atLeast"/>
        </w:trPr>
        <w:tc>
          <w:tcPr>
            <w:tcW w:w="13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081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机构发展情况</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B671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lang w:val="en-US"/>
              </w:rPr>
            </w:pPr>
            <w:r>
              <w:rPr>
                <w:rFonts w:hint="default" w:ascii="Times New Roman" w:hAnsi="Times New Roman" w:eastAsia="仿宋_GB2312" w:cs="Times New Roman"/>
                <w:i w:val="0"/>
                <w:iCs w:val="0"/>
                <w:color w:val="000000"/>
                <w:kern w:val="0"/>
                <w:sz w:val="22"/>
                <w:szCs w:val="22"/>
                <w:highlight w:val="none"/>
                <w:u w:val="none"/>
                <w:lang w:val="en-US" w:eastAsia="zh-CN" w:bidi="ar"/>
              </w:rPr>
              <w:t>营业收入增长情况</w:t>
            </w:r>
          </w:p>
        </w:tc>
        <w:tc>
          <w:tcPr>
            <w:tcW w:w="6367" w:type="dxa"/>
            <w:tcBorders>
              <w:top w:val="single" w:color="000000" w:sz="4" w:space="0"/>
              <w:left w:val="single" w:color="000000" w:sz="4" w:space="0"/>
              <w:bottom w:val="single" w:color="000000" w:sz="4" w:space="0"/>
              <w:right w:val="single" w:color="000000" w:sz="4" w:space="0"/>
            </w:tcBorders>
            <w:noWrap/>
            <w:vAlign w:val="center"/>
          </w:tcPr>
          <w:p w14:paraId="2E5B1D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服务券发放实施后一年内营业收入</w:t>
            </w:r>
            <w:r>
              <w:rPr>
                <w:rFonts w:hint="default" w:ascii="Times New Roman" w:hAnsi="Times New Roman" w:eastAsia="仿宋_GB2312" w:cs="Times New Roman"/>
                <w:i w:val="0"/>
                <w:iCs w:val="0"/>
                <w:color w:val="000000"/>
                <w:kern w:val="0"/>
                <w:sz w:val="22"/>
                <w:szCs w:val="22"/>
                <w:highlight w:val="none"/>
                <w:u w:val="none"/>
                <w:lang w:val="en-US" w:eastAsia="zh-CN" w:bidi="ar"/>
              </w:rPr>
              <w:t>基于</w:t>
            </w:r>
            <w:r>
              <w:rPr>
                <w:rFonts w:hint="default" w:ascii="Times New Roman" w:hAnsi="Times New Roman" w:eastAsia="仿宋_GB2312" w:cs="Times New Roman"/>
                <w:i w:val="0"/>
                <w:iCs w:val="0"/>
                <w:color w:val="000000"/>
                <w:kern w:val="0"/>
                <w:sz w:val="22"/>
                <w:szCs w:val="22"/>
                <w:highlight w:val="none"/>
                <w:u w:val="none"/>
                <w:lang w:val="en-US" w:eastAsia="zh-CN" w:bidi="ar"/>
              </w:rPr>
              <w:t>遴选时目标</w:t>
            </w:r>
            <w:r>
              <w:rPr>
                <w:rFonts w:hint="default" w:ascii="Times New Roman" w:hAnsi="Times New Roman" w:eastAsia="仿宋_GB2312" w:cs="Times New Roman"/>
                <w:i w:val="0"/>
                <w:iCs w:val="0"/>
                <w:color w:val="000000"/>
                <w:kern w:val="0"/>
                <w:sz w:val="22"/>
                <w:szCs w:val="22"/>
                <w:highlight w:val="none"/>
                <w:u w:val="none"/>
                <w:lang w:val="en-US" w:eastAsia="zh-CN" w:bidi="ar"/>
              </w:rPr>
              <w:t>营业收入增长</w:t>
            </w:r>
            <w:r>
              <w:rPr>
                <w:rFonts w:hint="default" w:ascii="Times New Roman" w:hAnsi="Times New Roman" w:eastAsia="仿宋_GB2312" w:cs="Times New Roman"/>
                <w:i w:val="0"/>
                <w:iCs w:val="0"/>
                <w:color w:val="000000"/>
                <w:kern w:val="0"/>
                <w:sz w:val="22"/>
                <w:szCs w:val="22"/>
                <w:highlight w:val="none"/>
                <w:u w:val="none"/>
                <w:lang w:val="en-US" w:eastAsia="zh-CN" w:bidi="ar"/>
              </w:rPr>
              <w:t>情况。</w:t>
            </w:r>
          </w:p>
        </w:tc>
      </w:tr>
      <w:tr w14:paraId="49AC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1110" w:hRule="atLeast"/>
        </w:trPr>
        <w:tc>
          <w:tcPr>
            <w:tcW w:w="13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1EC08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sz w:val="22"/>
                <w:szCs w:val="22"/>
                <w:highlight w:val="none"/>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9D2E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员工人数</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03F595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年度考核前一个月缴纳社保的员工数量。</w:t>
            </w:r>
          </w:p>
        </w:tc>
      </w:tr>
      <w:tr w14:paraId="40C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90" w:hRule="atLeast"/>
        </w:trPr>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18A00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满意度评价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04DC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客户服务满意度</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78A9C9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sz w:val="22"/>
                <w:szCs w:val="22"/>
                <w:highlight w:val="none"/>
                <w:u w:val="none"/>
              </w:rPr>
            </w:pPr>
            <w:r>
              <w:rPr>
                <w:rFonts w:hint="default" w:ascii="Times New Roman" w:hAnsi="Times New Roman" w:eastAsia="仿宋_GB2312" w:cs="Times New Roman"/>
                <w:i w:val="0"/>
                <w:iCs w:val="0"/>
                <w:color w:val="000000"/>
                <w:kern w:val="0"/>
                <w:sz w:val="22"/>
                <w:szCs w:val="22"/>
                <w:highlight w:val="none"/>
                <w:u w:val="none"/>
                <w:lang w:val="en-US" w:eastAsia="zh-CN" w:bidi="ar"/>
              </w:rPr>
              <w:t>使用知识产权服务券购买服务的客户满意度。</w:t>
            </w:r>
          </w:p>
        </w:tc>
      </w:tr>
      <w:tr w14:paraId="3005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1267" w:hRule="atLeast"/>
        </w:trPr>
        <w:tc>
          <w:tcPr>
            <w:tcW w:w="1384" w:type="dxa"/>
            <w:gridSpan w:val="2"/>
            <w:tcBorders>
              <w:top w:val="single" w:color="000000" w:sz="4" w:space="0"/>
              <w:left w:val="single" w:color="000000" w:sz="4" w:space="0"/>
              <w:bottom w:val="single" w:color="000000" w:sz="4" w:space="0"/>
              <w:right w:val="single" w:color="000000" w:sz="4" w:space="0"/>
            </w:tcBorders>
            <w:noWrap w:val="0"/>
            <w:vAlign w:val="center"/>
          </w:tcPr>
          <w:p w14:paraId="06D3DC9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s="Times New Roman"/>
                <w:i w:val="0"/>
                <w:iCs w:val="0"/>
                <w:color w:val="000000"/>
                <w:kern w:val="2"/>
                <w:sz w:val="22"/>
                <w:szCs w:val="22"/>
                <w:highlight w:val="none"/>
                <w:u w:val="none"/>
                <w:lang w:val="en-US" w:eastAsia="zh-CN" w:bidi="ar-SA"/>
              </w:rPr>
            </w:pPr>
            <w:r>
              <w:rPr>
                <w:rFonts w:hint="default" w:ascii="Times New Roman" w:hAnsi="Times New Roman" w:eastAsia="仿宋_GB2312" w:cs="Times New Roman"/>
                <w:i w:val="0"/>
                <w:iCs w:val="0"/>
                <w:color w:val="000000"/>
                <w:sz w:val="22"/>
                <w:szCs w:val="22"/>
                <w:highlight w:val="none"/>
                <w:u w:val="none"/>
                <w:lang w:val="en-US" w:eastAsia="zh-CN"/>
              </w:rPr>
              <w:t>其他情况</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9A7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color w:val="000000"/>
                <w:kern w:val="0"/>
                <w:sz w:val="22"/>
                <w:highlight w:val="none"/>
                <w:u w:val="none"/>
                <w:lang w:val="en-US" w:eastAsia="zh-CN" w:bidi="ar"/>
              </w:rPr>
              <w:t>“两业融合”</w:t>
            </w:r>
            <w:r>
              <w:rPr>
                <w:rFonts w:hint="default" w:ascii="Times New Roman" w:hAnsi="Times New Roman" w:eastAsia="仿宋_GB2312" w:cs="Times New Roman"/>
                <w:color w:val="000000"/>
                <w:kern w:val="0"/>
                <w:sz w:val="22"/>
                <w:highlight w:val="none"/>
                <w:u w:val="none"/>
                <w:lang w:bidi="ar"/>
              </w:rPr>
              <w:t>贡献</w:t>
            </w:r>
            <w:r>
              <w:rPr>
                <w:rFonts w:hint="default" w:ascii="Times New Roman" w:hAnsi="Times New Roman" w:eastAsia="仿宋_GB2312" w:cs="Times New Roman"/>
                <w:color w:val="000000"/>
                <w:kern w:val="0"/>
                <w:sz w:val="22"/>
                <w:highlight w:val="none"/>
                <w:u w:val="none"/>
                <w:lang w:val="en-US" w:eastAsia="zh-CN" w:bidi="ar"/>
              </w:rPr>
              <w:t>情况</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2DABE1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iCs w:val="0"/>
                <w:color w:val="000000"/>
                <w:kern w:val="0"/>
                <w:sz w:val="22"/>
                <w:szCs w:val="22"/>
                <w:highlight w:val="none"/>
                <w:u w:val="none"/>
                <w:lang w:val="en-US" w:eastAsia="zh-CN" w:bidi="ar"/>
              </w:rPr>
            </w:pPr>
            <w:r>
              <w:rPr>
                <w:rFonts w:hint="default" w:ascii="Times New Roman" w:hAnsi="Times New Roman" w:eastAsia="仿宋_GB2312" w:cs="Times New Roman"/>
                <w:i w:val="0"/>
                <w:iCs w:val="0"/>
                <w:color w:val="000000"/>
                <w:kern w:val="0"/>
                <w:sz w:val="22"/>
                <w:szCs w:val="22"/>
                <w:highlight w:val="none"/>
                <w:u w:val="none"/>
                <w:lang w:val="en-US" w:eastAsia="zh-CN" w:bidi="ar"/>
              </w:rPr>
              <w:t>服务券发放实施后一年内协助广州开发区知识产权局深化生产性服务业与先进制造业“两业融合”加快培育新质生产力情况。</w:t>
            </w:r>
          </w:p>
        </w:tc>
      </w:tr>
    </w:tbl>
    <w:p w14:paraId="7A682B2B">
      <w:pPr>
        <w:keepNext w:val="0"/>
        <w:keepLines w:val="0"/>
        <w:pageBreakBefore w:val="0"/>
        <w:kinsoku/>
        <w:wordWrap/>
        <w:overflowPunct/>
        <w:topLinePunct w:val="0"/>
        <w:bidi w:val="0"/>
        <w:spacing w:line="560" w:lineRule="exact"/>
        <w:rPr>
          <w:rFonts w:hint="default" w:ascii="Times New Roman" w:hAnsi="Times New Roman" w:cs="Times New Roman"/>
          <w:highlight w:val="none"/>
          <w:u w:val="none"/>
        </w:rPr>
      </w:pPr>
    </w:p>
    <w:p w14:paraId="774CDA7C">
      <w:pPr>
        <w:pStyle w:val="6"/>
        <w:rPr>
          <w:rFonts w:hint="default" w:ascii="Times New Roman" w:hAnsi="Times New Roman" w:cs="Times New Roman"/>
          <w:highlight w:val="none"/>
          <w:u w:val="none"/>
        </w:rPr>
      </w:pPr>
    </w:p>
    <w:p w14:paraId="0A76538F">
      <w:pPr>
        <w:pStyle w:val="6"/>
        <w:rPr>
          <w:rFonts w:hint="default" w:ascii="Times New Roman" w:hAnsi="Times New Roman" w:cs="Times New Roman"/>
          <w:highlight w:val="none"/>
          <w:u w:val="none"/>
        </w:rPr>
      </w:pPr>
    </w:p>
    <w:p w14:paraId="23E1A92E">
      <w:pPr>
        <w:pStyle w:val="6"/>
        <w:rPr>
          <w:rFonts w:hint="default" w:ascii="Times New Roman" w:hAnsi="Times New Roman" w:cs="Times New Roman"/>
          <w:highlight w:val="none"/>
          <w:u w:val="none"/>
        </w:rPr>
      </w:pPr>
    </w:p>
    <w:p w14:paraId="7B54E1E8">
      <w:pPr>
        <w:pStyle w:val="6"/>
        <w:rPr>
          <w:rFonts w:hint="default" w:ascii="Times New Roman" w:hAnsi="Times New Roman" w:cs="Times New Roman"/>
          <w:highlight w:val="none"/>
          <w:u w:val="none"/>
        </w:rPr>
      </w:pPr>
    </w:p>
    <w:p w14:paraId="23B2F8FC">
      <w:pPr>
        <w:pStyle w:val="6"/>
        <w:rPr>
          <w:rFonts w:hint="default" w:ascii="Times New Roman" w:hAnsi="Times New Roman" w:cs="Times New Roman"/>
          <w:highlight w:val="none"/>
          <w:u w:val="none"/>
        </w:rPr>
      </w:pPr>
    </w:p>
    <w:p w14:paraId="545F66C8">
      <w:pPr>
        <w:pStyle w:val="6"/>
        <w:rPr>
          <w:rFonts w:hint="default" w:ascii="Times New Roman" w:hAnsi="Times New Roman" w:cs="Times New Roman"/>
          <w:highlight w:val="none"/>
          <w:u w:val="none"/>
        </w:rPr>
      </w:pPr>
    </w:p>
    <w:p w14:paraId="6B244287">
      <w:pPr>
        <w:pStyle w:val="6"/>
        <w:rPr>
          <w:rFonts w:hint="default" w:ascii="Times New Roman" w:hAnsi="Times New Roman" w:cs="Times New Roman"/>
          <w:highlight w:val="none"/>
          <w:u w:val="none"/>
        </w:rPr>
      </w:pPr>
    </w:p>
    <w:p w14:paraId="2CF81136">
      <w:pPr>
        <w:pStyle w:val="6"/>
        <w:rPr>
          <w:rFonts w:hint="default" w:ascii="Times New Roman" w:hAnsi="Times New Roman" w:cs="Times New Roman"/>
          <w:highlight w:val="none"/>
          <w:u w:val="none"/>
        </w:rPr>
      </w:pPr>
    </w:p>
    <w:p w14:paraId="7D986376">
      <w:pPr>
        <w:pStyle w:val="6"/>
        <w:rPr>
          <w:rFonts w:hint="default" w:ascii="Times New Roman" w:hAnsi="Times New Roman" w:cs="Times New Roman"/>
          <w:highlight w:val="none"/>
          <w:u w:val="none"/>
        </w:rPr>
      </w:pPr>
    </w:p>
    <w:p w14:paraId="3686D8D1">
      <w:pPr>
        <w:pStyle w:val="6"/>
        <w:rPr>
          <w:rFonts w:hint="default" w:ascii="Times New Roman" w:hAnsi="Times New Roman" w:cs="Times New Roman"/>
          <w:highlight w:val="none"/>
          <w:u w:val="none"/>
        </w:rPr>
      </w:pPr>
    </w:p>
    <w:p w14:paraId="003AA941">
      <w:pPr>
        <w:pStyle w:val="6"/>
        <w:rPr>
          <w:rFonts w:hint="default" w:ascii="Times New Roman" w:hAnsi="Times New Roman" w:cs="Times New Roman"/>
          <w:highlight w:val="none"/>
          <w:u w:val="none"/>
        </w:rPr>
      </w:pPr>
    </w:p>
    <w:p w14:paraId="4DD32774">
      <w:pPr>
        <w:pStyle w:val="6"/>
        <w:rPr>
          <w:rFonts w:hint="default" w:ascii="Times New Roman" w:hAnsi="Times New Roman" w:cs="Times New Roman"/>
          <w:highlight w:val="none"/>
          <w:u w:val="none"/>
        </w:rPr>
      </w:pPr>
    </w:p>
    <w:p w14:paraId="7269845F">
      <w:pPr>
        <w:pStyle w:val="6"/>
        <w:rPr>
          <w:rFonts w:hint="default" w:ascii="Times New Roman" w:hAnsi="Times New Roman" w:cs="Times New Roman"/>
          <w:highlight w:val="none"/>
          <w:u w:val="none"/>
        </w:rPr>
      </w:pPr>
    </w:p>
    <w:p w14:paraId="151A1443">
      <w:pPr>
        <w:pStyle w:val="6"/>
        <w:rPr>
          <w:rFonts w:hint="default" w:ascii="Times New Roman" w:hAnsi="Times New Roman" w:cs="Times New Roman"/>
          <w:highlight w:val="none"/>
          <w:u w:val="none"/>
        </w:rPr>
      </w:pPr>
    </w:p>
    <w:p w14:paraId="5371353E">
      <w:pPr>
        <w:pStyle w:val="6"/>
        <w:rPr>
          <w:rFonts w:hint="default" w:ascii="Times New Roman" w:hAnsi="Times New Roman" w:cs="Times New Roman"/>
          <w:highlight w:val="none"/>
          <w:u w:val="none"/>
        </w:rPr>
      </w:pPr>
    </w:p>
    <w:p w14:paraId="5A365203">
      <w:pPr>
        <w:pStyle w:val="6"/>
        <w:ind w:left="0" w:leftChars="0" w:firstLine="0" w:firstLineChars="0"/>
        <w:rPr>
          <w:rFonts w:hint="default" w:ascii="Times New Roman" w:hAnsi="Times New Roman" w:cs="Times New Roman"/>
          <w:highlight w:val="none"/>
          <w:u w:val="none"/>
        </w:rPr>
      </w:pPr>
    </w:p>
    <w:p w14:paraId="51C47388">
      <w:pPr>
        <w:pStyle w:val="6"/>
        <w:ind w:left="0" w:leftChars="0" w:firstLine="0" w:firstLineChars="0"/>
        <w:rPr>
          <w:rFonts w:hint="default" w:ascii="Times New Roman" w:hAnsi="Times New Roman" w:cs="Times New Roman"/>
          <w:highlight w:val="none"/>
          <w:u w:val="none"/>
        </w:rPr>
      </w:pPr>
    </w:p>
    <w:p w14:paraId="0C185E9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rPr>
      </w:pPr>
      <w:r>
        <w:rPr>
          <w:rFonts w:hint="default" w:ascii="Times New Roman" w:hAnsi="Times New Roman" w:eastAsia="黑体" w:cs="Times New Roman"/>
          <w:sz w:val="32"/>
          <w:szCs w:val="32"/>
          <w:lang w:val="en-US" w:eastAsia="zh-CN"/>
        </w:rPr>
        <w:t>公</w:t>
      </w:r>
      <w:r>
        <w:rPr>
          <w:rFonts w:hint="default" w:ascii="Times New Roman" w:hAnsi="Times New Roman" w:eastAsia="黑体" w:cs="Times New Roman"/>
          <w:sz w:val="32"/>
          <w:szCs w:val="32"/>
        </w:rPr>
        <w:t>开方式</w:t>
      </w:r>
      <w:r>
        <w:rPr>
          <w:rFonts w:hint="default" w:ascii="Times New Roman" w:hAnsi="Times New Roman" w:cs="Times New Roman"/>
        </w:rPr>
        <w:t>：</w:t>
      </w:r>
      <w:r>
        <w:rPr>
          <w:rFonts w:hint="eastAsia" w:ascii="Times New Roman" w:hAnsi="Times New Roman" w:eastAsia="仿宋_GB2312" w:cs="Times New Roman"/>
          <w:sz w:val="32"/>
          <w:szCs w:val="32"/>
          <w:lang w:val="en-US" w:eastAsia="zh-CN"/>
        </w:rPr>
        <w:t>主动</w:t>
      </w:r>
      <w:r>
        <w:rPr>
          <w:rFonts w:hint="default" w:ascii="Times New Roman" w:hAnsi="Times New Roman" w:eastAsia="仿宋_GB2312" w:cs="Times New Roman"/>
          <w:sz w:val="32"/>
          <w:szCs w:val="32"/>
        </w:rPr>
        <w:t>公开</w:t>
      </w:r>
    </w:p>
    <w:tbl>
      <w:tblPr>
        <w:tblStyle w:val="11"/>
        <w:tblpPr w:leftFromText="180" w:rightFromText="180" w:vertAnchor="text" w:horzAnchor="page" w:tblpX="1701" w:tblpY="305"/>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61"/>
      </w:tblGrid>
      <w:tr w14:paraId="4F444F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79" w:hRule="atLeast"/>
        </w:trPr>
        <w:tc>
          <w:tcPr>
            <w:tcW w:w="9061" w:type="dxa"/>
            <w:tcBorders>
              <w:tl2br w:val="nil"/>
              <w:tr2bl w:val="nil"/>
            </w:tcBorders>
            <w:noWrap w:val="0"/>
            <w:vAlign w:val="top"/>
          </w:tcPr>
          <w:p w14:paraId="5A9A7E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pacing w:val="0"/>
                <w:position w:val="-6"/>
                <w:sz w:val="28"/>
                <w:szCs w:val="28"/>
                <w:lang w:eastAsia="zh-CN"/>
              </w:rPr>
              <w:t>广州开发区知识产权局</w:t>
            </w:r>
            <w:r>
              <w:rPr>
                <w:rFonts w:hint="eastAsia" w:ascii="Times New Roman" w:hAnsi="Times New Roman" w:eastAsia="仿宋_GB2312" w:cs="Times New Roman"/>
                <w:spacing w:val="0"/>
                <w:position w:val="-6"/>
                <w:sz w:val="28"/>
                <w:szCs w:val="28"/>
                <w:lang w:val="en-US" w:eastAsia="zh-CN"/>
              </w:rPr>
              <w:t>办公室</w:t>
            </w:r>
            <w:r>
              <w:rPr>
                <w:rFonts w:hint="default" w:ascii="Times New Roman" w:hAnsi="Times New Roman" w:eastAsia="仿宋_GB2312" w:cs="Times New Roman"/>
                <w:spacing w:val="0"/>
                <w:position w:val="-6"/>
                <w:sz w:val="28"/>
                <w:szCs w:val="28"/>
                <w:lang w:val="en-US" w:eastAsia="zh-CN"/>
              </w:rPr>
              <w:t xml:space="preserve">              </w:t>
            </w:r>
            <w:r>
              <w:rPr>
                <w:rFonts w:hint="eastAsia" w:ascii="Times New Roman" w:hAnsi="Times New Roman" w:eastAsia="仿宋_GB2312" w:cs="Times New Roman"/>
                <w:spacing w:val="0"/>
                <w:position w:val="-6"/>
                <w:sz w:val="28"/>
                <w:szCs w:val="28"/>
                <w:lang w:val="en-US" w:eastAsia="zh-CN"/>
              </w:rPr>
              <w:t xml:space="preserve">    </w:t>
            </w:r>
            <w:r>
              <w:rPr>
                <w:rFonts w:hint="default" w:ascii="Times New Roman" w:hAnsi="Times New Roman" w:eastAsia="仿宋_GB2312" w:cs="Times New Roman"/>
                <w:spacing w:val="0"/>
                <w:position w:val="-6"/>
                <w:sz w:val="28"/>
                <w:szCs w:val="28"/>
                <w:lang w:val="en-US" w:eastAsia="zh-CN"/>
              </w:rPr>
              <w:t>202</w:t>
            </w:r>
            <w:r>
              <w:rPr>
                <w:rFonts w:hint="eastAsia" w:ascii="Times New Roman" w:hAnsi="Times New Roman" w:eastAsia="仿宋_GB2312" w:cs="Times New Roman"/>
                <w:spacing w:val="0"/>
                <w:position w:val="-6"/>
                <w:sz w:val="28"/>
                <w:szCs w:val="28"/>
                <w:lang w:val="en-US" w:eastAsia="zh-CN"/>
              </w:rPr>
              <w:t>5</w:t>
            </w:r>
            <w:r>
              <w:rPr>
                <w:rFonts w:hint="default" w:ascii="Times New Roman" w:hAnsi="Times New Roman" w:eastAsia="仿宋_GB2312" w:cs="Times New Roman"/>
                <w:spacing w:val="0"/>
                <w:position w:val="-6"/>
                <w:sz w:val="28"/>
                <w:szCs w:val="28"/>
                <w:lang w:val="en-US" w:eastAsia="zh-CN"/>
              </w:rPr>
              <w:t>年</w:t>
            </w:r>
            <w:r>
              <w:rPr>
                <w:rFonts w:hint="eastAsia" w:ascii="Times New Roman" w:hAnsi="Times New Roman" w:eastAsia="仿宋_GB2312" w:cs="Times New Roman"/>
                <w:spacing w:val="0"/>
                <w:position w:val="-6"/>
                <w:sz w:val="28"/>
                <w:szCs w:val="28"/>
                <w:lang w:val="en-US" w:eastAsia="zh-CN"/>
              </w:rPr>
              <w:t>7</w:t>
            </w:r>
            <w:r>
              <w:rPr>
                <w:rFonts w:hint="default" w:ascii="Times New Roman" w:hAnsi="Times New Roman" w:eastAsia="仿宋_GB2312" w:cs="Times New Roman"/>
                <w:spacing w:val="0"/>
                <w:position w:val="-6"/>
                <w:sz w:val="28"/>
                <w:szCs w:val="28"/>
                <w:lang w:val="en-US" w:eastAsia="zh-CN"/>
              </w:rPr>
              <w:t>月</w:t>
            </w:r>
            <w:r>
              <w:rPr>
                <w:rFonts w:hint="eastAsia" w:ascii="Times New Roman" w:hAnsi="Times New Roman" w:eastAsia="仿宋_GB2312" w:cs="Times New Roman"/>
                <w:spacing w:val="0"/>
                <w:position w:val="-6"/>
                <w:sz w:val="28"/>
                <w:szCs w:val="28"/>
                <w:lang w:val="en-US" w:eastAsia="zh-CN"/>
              </w:rPr>
              <w:t>23</w:t>
            </w:r>
            <w:r>
              <w:rPr>
                <w:rFonts w:hint="default" w:ascii="Times New Roman" w:hAnsi="Times New Roman" w:eastAsia="仿宋_GB2312" w:cs="Times New Roman"/>
                <w:spacing w:val="0"/>
                <w:position w:val="-6"/>
                <w:sz w:val="28"/>
                <w:szCs w:val="28"/>
                <w:lang w:val="en-US" w:eastAsia="zh-CN"/>
              </w:rPr>
              <w:t>日印发</w:t>
            </w:r>
          </w:p>
        </w:tc>
      </w:tr>
    </w:tbl>
    <w:p w14:paraId="690BACC5">
      <w:pPr>
        <w:pStyle w:val="6"/>
        <w:ind w:left="0" w:leftChars="0" w:firstLine="0" w:firstLineChars="0"/>
        <w:rPr>
          <w:rFonts w:hint="default" w:ascii="Times New Roman" w:hAnsi="Times New Roman" w:cs="Times New Roman"/>
          <w:highlight w:val="none"/>
          <w:u w:val="none"/>
        </w:rPr>
      </w:pPr>
    </w:p>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40E166-9B19-4D61-8F14-48A79BB87C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7CFE940-5A8E-407B-A448-5C04B8F7D4F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embedRegular r:id="rId3" w:fontKey="{C51C0077-2B01-4A14-AE2D-ECC3CDCB3D18}"/>
  </w:font>
  <w:font w:name="楷体_GB2312">
    <w:panose1 w:val="02010609030101010101"/>
    <w:charset w:val="86"/>
    <w:family w:val="auto"/>
    <w:pitch w:val="default"/>
    <w:sig w:usb0="00000001" w:usb1="080E0000" w:usb2="00000000" w:usb3="00000000" w:csb0="00040000" w:csb1="00000000"/>
    <w:embedRegular r:id="rId4" w:fontKey="{55AFC558-177F-44DA-98AF-863C8D607E34}"/>
  </w:font>
  <w:font w:name="微软雅黑">
    <w:panose1 w:val="020B0503020204020204"/>
    <w:charset w:val="86"/>
    <w:family w:val="auto"/>
    <w:pitch w:val="default"/>
    <w:sig w:usb0="80000287" w:usb1="2ACF3C50" w:usb2="00000016" w:usb3="00000000" w:csb0="0004001F" w:csb1="00000000"/>
    <w:embedRegular r:id="rId5" w:fontKey="{ECE80632-B3C9-4771-BB20-87FBC3E570F1}"/>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65D">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EA613C">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CAYf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2rxyqd3gb/YRW85MUhtD&#10;7bE7nG/WYtzFtED/nnPU0/tbP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IBh+cBAADH&#10;AwAADgAAAAAAAAABACAAAAAfAQAAZHJzL2Uyb0RvYy54bWxQSwUGAAAAAAYABgBZAQAAeAUAAAAA&#10;">
              <v:fill on="f" focussize="0,0"/>
              <v:stroke on="f" weight="0.5pt"/>
              <v:imagedata o:title=""/>
              <o:lock v:ext="edit" aspectratio="f"/>
              <v:textbox inset="0mm,0mm,0mm,0mm" style="mso-fit-shape-to-text:t;">
                <w:txbxContent>
                  <w:p w14:paraId="04EA613C">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p w14:paraId="0633B91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34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959D94">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2C959D94">
                    <w:pPr>
                      <w:pStyle w:val="7"/>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D0D12">
    <w:pPr>
      <w:pStyle w:val="7"/>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E36D7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14:paraId="48E36D7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589C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13E60"/>
    <w:multiLevelType w:val="singleLevel"/>
    <w:tmpl w:val="87E13E60"/>
    <w:lvl w:ilvl="0" w:tentative="0">
      <w:start w:val="3"/>
      <w:numFmt w:val="decimal"/>
      <w:lvlText w:val="%1."/>
      <w:lvlJc w:val="left"/>
      <w:pPr>
        <w:tabs>
          <w:tab w:val="left" w:pos="312"/>
        </w:tabs>
      </w:pPr>
    </w:lvl>
  </w:abstractNum>
  <w:abstractNum w:abstractNumId="1">
    <w:nsid w:val="8933D6B3"/>
    <w:multiLevelType w:val="singleLevel"/>
    <w:tmpl w:val="8933D6B3"/>
    <w:lvl w:ilvl="0" w:tentative="0">
      <w:start w:val="3"/>
      <w:numFmt w:val="chineseCounting"/>
      <w:suff w:val="nothing"/>
      <w:lvlText w:val="%1、"/>
      <w:lvlJc w:val="left"/>
      <w:rPr>
        <w:rFonts w:hint="eastAsia"/>
      </w:rPr>
    </w:lvl>
  </w:abstractNum>
  <w:abstractNum w:abstractNumId="2">
    <w:nsid w:val="D0432412"/>
    <w:multiLevelType w:val="singleLevel"/>
    <w:tmpl w:val="D0432412"/>
    <w:lvl w:ilvl="0" w:tentative="0">
      <w:start w:val="2"/>
      <w:numFmt w:val="chineseCounting"/>
      <w:suff w:val="nothing"/>
      <w:lvlText w:val="（%1）"/>
      <w:lvlJc w:val="left"/>
      <w:rPr>
        <w:rFonts w:hint="eastAsia"/>
      </w:rPr>
    </w:lvl>
  </w:abstractNum>
  <w:abstractNum w:abstractNumId="3">
    <w:nsid w:val="FF60FEAF"/>
    <w:multiLevelType w:val="singleLevel"/>
    <w:tmpl w:val="FF60FEAF"/>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revisionView w:markup="0"/>
  <w:documentProtection w:edit="readOnly" w:enforcement="1" w:cryptProviderType="rsaFull" w:cryptAlgorithmClass="hash" w:cryptAlgorithmType="typeAny" w:cryptAlgorithmSid="4" w:cryptSpinCount="0" w:hash="X4S9QgpKzJ1e1cATSIrLH1HmdxY=" w:salt="4b/Ue7bKSd/NeXoFg1MTdA=="/>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B5937"/>
    <w:rsid w:val="012203CB"/>
    <w:rsid w:val="01DD41C2"/>
    <w:rsid w:val="02B11EFA"/>
    <w:rsid w:val="033433CD"/>
    <w:rsid w:val="03896DD4"/>
    <w:rsid w:val="052C30D0"/>
    <w:rsid w:val="05905484"/>
    <w:rsid w:val="05CA0F57"/>
    <w:rsid w:val="06087077"/>
    <w:rsid w:val="0669671B"/>
    <w:rsid w:val="066A7BC3"/>
    <w:rsid w:val="070B6683"/>
    <w:rsid w:val="071D753B"/>
    <w:rsid w:val="074E358D"/>
    <w:rsid w:val="08531D12"/>
    <w:rsid w:val="087864F3"/>
    <w:rsid w:val="092A7140"/>
    <w:rsid w:val="09844135"/>
    <w:rsid w:val="09F74079"/>
    <w:rsid w:val="0A1E2217"/>
    <w:rsid w:val="0AF14E6E"/>
    <w:rsid w:val="0B701A53"/>
    <w:rsid w:val="0CA37841"/>
    <w:rsid w:val="0D2668FD"/>
    <w:rsid w:val="0D392F78"/>
    <w:rsid w:val="0DC66348"/>
    <w:rsid w:val="0DE440A0"/>
    <w:rsid w:val="0DEA55DF"/>
    <w:rsid w:val="0E0807F9"/>
    <w:rsid w:val="0F3717D1"/>
    <w:rsid w:val="113145DD"/>
    <w:rsid w:val="11471B69"/>
    <w:rsid w:val="117B5DA3"/>
    <w:rsid w:val="11CD2B0B"/>
    <w:rsid w:val="11FD33EE"/>
    <w:rsid w:val="120670D7"/>
    <w:rsid w:val="12383E29"/>
    <w:rsid w:val="12500C0A"/>
    <w:rsid w:val="12EA052B"/>
    <w:rsid w:val="12FF12A8"/>
    <w:rsid w:val="138F73B0"/>
    <w:rsid w:val="13B9498A"/>
    <w:rsid w:val="14F14315"/>
    <w:rsid w:val="15000600"/>
    <w:rsid w:val="15435BF2"/>
    <w:rsid w:val="155F6054"/>
    <w:rsid w:val="15716399"/>
    <w:rsid w:val="159B7258"/>
    <w:rsid w:val="15E63D62"/>
    <w:rsid w:val="16237E59"/>
    <w:rsid w:val="163F4018"/>
    <w:rsid w:val="176E5BC6"/>
    <w:rsid w:val="183222F0"/>
    <w:rsid w:val="1879016B"/>
    <w:rsid w:val="188449CB"/>
    <w:rsid w:val="1AE67565"/>
    <w:rsid w:val="1B7F5F5B"/>
    <w:rsid w:val="1B8C3E6E"/>
    <w:rsid w:val="1B944F25"/>
    <w:rsid w:val="1C163621"/>
    <w:rsid w:val="1C3B1844"/>
    <w:rsid w:val="1C947382"/>
    <w:rsid w:val="1CAB3B5C"/>
    <w:rsid w:val="1E396257"/>
    <w:rsid w:val="1E3B0A0B"/>
    <w:rsid w:val="1E751647"/>
    <w:rsid w:val="1EA416D1"/>
    <w:rsid w:val="1EDF2B6B"/>
    <w:rsid w:val="1F253C23"/>
    <w:rsid w:val="1F2831F3"/>
    <w:rsid w:val="1F663B0B"/>
    <w:rsid w:val="20502A11"/>
    <w:rsid w:val="206C68D9"/>
    <w:rsid w:val="20984CF8"/>
    <w:rsid w:val="20A63420"/>
    <w:rsid w:val="217A453B"/>
    <w:rsid w:val="21FF3584"/>
    <w:rsid w:val="223A23ED"/>
    <w:rsid w:val="22581A21"/>
    <w:rsid w:val="22AA52CA"/>
    <w:rsid w:val="234A3673"/>
    <w:rsid w:val="23566AC1"/>
    <w:rsid w:val="23B1211E"/>
    <w:rsid w:val="23BE7AB0"/>
    <w:rsid w:val="23DF60E5"/>
    <w:rsid w:val="23FE6729"/>
    <w:rsid w:val="245D2237"/>
    <w:rsid w:val="247815EB"/>
    <w:rsid w:val="247A6377"/>
    <w:rsid w:val="24F57A26"/>
    <w:rsid w:val="25962125"/>
    <w:rsid w:val="259A54C2"/>
    <w:rsid w:val="26036158"/>
    <w:rsid w:val="26452B3D"/>
    <w:rsid w:val="269456DA"/>
    <w:rsid w:val="26972271"/>
    <w:rsid w:val="26D53579"/>
    <w:rsid w:val="271B6BAB"/>
    <w:rsid w:val="28472F73"/>
    <w:rsid w:val="29A70519"/>
    <w:rsid w:val="2B3E50D8"/>
    <w:rsid w:val="2B6166B9"/>
    <w:rsid w:val="2BA925CA"/>
    <w:rsid w:val="2C021643"/>
    <w:rsid w:val="2D0F4C79"/>
    <w:rsid w:val="2E0F6B3E"/>
    <w:rsid w:val="2E7A784F"/>
    <w:rsid w:val="2ECE130F"/>
    <w:rsid w:val="2EF304D9"/>
    <w:rsid w:val="2F0D31FE"/>
    <w:rsid w:val="2F475B9D"/>
    <w:rsid w:val="304A7E50"/>
    <w:rsid w:val="30591D43"/>
    <w:rsid w:val="310A0D01"/>
    <w:rsid w:val="313F7242"/>
    <w:rsid w:val="330766EC"/>
    <w:rsid w:val="331C5429"/>
    <w:rsid w:val="337A225C"/>
    <w:rsid w:val="33951AC3"/>
    <w:rsid w:val="348225B1"/>
    <w:rsid w:val="34D17309"/>
    <w:rsid w:val="34D87A84"/>
    <w:rsid w:val="35684E2E"/>
    <w:rsid w:val="35920CE7"/>
    <w:rsid w:val="35C533E4"/>
    <w:rsid w:val="36077EDD"/>
    <w:rsid w:val="361A6055"/>
    <w:rsid w:val="364F24ED"/>
    <w:rsid w:val="36AA369C"/>
    <w:rsid w:val="37347D24"/>
    <w:rsid w:val="374A6242"/>
    <w:rsid w:val="37926B5E"/>
    <w:rsid w:val="37F6496B"/>
    <w:rsid w:val="38DC1ED6"/>
    <w:rsid w:val="396F2A53"/>
    <w:rsid w:val="39750703"/>
    <w:rsid w:val="39867DFB"/>
    <w:rsid w:val="39C805BD"/>
    <w:rsid w:val="3AA432F5"/>
    <w:rsid w:val="3B1B5690"/>
    <w:rsid w:val="3C4A53C2"/>
    <w:rsid w:val="3CF65359"/>
    <w:rsid w:val="3D58736C"/>
    <w:rsid w:val="3D646E47"/>
    <w:rsid w:val="3D786924"/>
    <w:rsid w:val="3DAE0D03"/>
    <w:rsid w:val="3DBD0CE8"/>
    <w:rsid w:val="3E7360F9"/>
    <w:rsid w:val="40472D53"/>
    <w:rsid w:val="415512BB"/>
    <w:rsid w:val="41815E93"/>
    <w:rsid w:val="41AA1576"/>
    <w:rsid w:val="41BD0F6D"/>
    <w:rsid w:val="42190EE9"/>
    <w:rsid w:val="4237319F"/>
    <w:rsid w:val="42D562F4"/>
    <w:rsid w:val="42F5057E"/>
    <w:rsid w:val="435850AB"/>
    <w:rsid w:val="442F526C"/>
    <w:rsid w:val="444F704E"/>
    <w:rsid w:val="44620A13"/>
    <w:rsid w:val="44B47A9F"/>
    <w:rsid w:val="458F46CB"/>
    <w:rsid w:val="45A21C31"/>
    <w:rsid w:val="45FD3924"/>
    <w:rsid w:val="460E3E7E"/>
    <w:rsid w:val="46135147"/>
    <w:rsid w:val="46204823"/>
    <w:rsid w:val="466E4307"/>
    <w:rsid w:val="46F102F3"/>
    <w:rsid w:val="46FB5E7F"/>
    <w:rsid w:val="4703600F"/>
    <w:rsid w:val="47545D4B"/>
    <w:rsid w:val="476F66C2"/>
    <w:rsid w:val="478E5B33"/>
    <w:rsid w:val="47E256F9"/>
    <w:rsid w:val="482074E7"/>
    <w:rsid w:val="482A5A71"/>
    <w:rsid w:val="482E0C0F"/>
    <w:rsid w:val="48307EB1"/>
    <w:rsid w:val="487E54FB"/>
    <w:rsid w:val="489003AA"/>
    <w:rsid w:val="499463FD"/>
    <w:rsid w:val="49A14272"/>
    <w:rsid w:val="49BD648E"/>
    <w:rsid w:val="4A15208D"/>
    <w:rsid w:val="4AE02AE7"/>
    <w:rsid w:val="4AEC41A4"/>
    <w:rsid w:val="4AF61CEF"/>
    <w:rsid w:val="4B0A041A"/>
    <w:rsid w:val="4BB82481"/>
    <w:rsid w:val="4C0373D9"/>
    <w:rsid w:val="4C9703FA"/>
    <w:rsid w:val="4CCC7D9C"/>
    <w:rsid w:val="4CD051D4"/>
    <w:rsid w:val="4D104FD2"/>
    <w:rsid w:val="4D1052B3"/>
    <w:rsid w:val="4D126408"/>
    <w:rsid w:val="4D7F6155"/>
    <w:rsid w:val="4DB04E83"/>
    <w:rsid w:val="4DC343AD"/>
    <w:rsid w:val="4DE47F15"/>
    <w:rsid w:val="4ECC4362"/>
    <w:rsid w:val="4ED46763"/>
    <w:rsid w:val="4EEC6864"/>
    <w:rsid w:val="4F60383D"/>
    <w:rsid w:val="4F710011"/>
    <w:rsid w:val="4FA21EF1"/>
    <w:rsid w:val="4FC77454"/>
    <w:rsid w:val="4FD537CF"/>
    <w:rsid w:val="4FFA4E35"/>
    <w:rsid w:val="50A6165E"/>
    <w:rsid w:val="51E46B11"/>
    <w:rsid w:val="52010F9C"/>
    <w:rsid w:val="52844782"/>
    <w:rsid w:val="53BA6A87"/>
    <w:rsid w:val="53F30897"/>
    <w:rsid w:val="549F3438"/>
    <w:rsid w:val="54BE47E5"/>
    <w:rsid w:val="55612C5E"/>
    <w:rsid w:val="55A67155"/>
    <w:rsid w:val="56167DE0"/>
    <w:rsid w:val="5649458E"/>
    <w:rsid w:val="56E75B4C"/>
    <w:rsid w:val="56FF0657"/>
    <w:rsid w:val="57285552"/>
    <w:rsid w:val="575A58DF"/>
    <w:rsid w:val="57A5493C"/>
    <w:rsid w:val="58107CC3"/>
    <w:rsid w:val="586520D7"/>
    <w:rsid w:val="586D2F1D"/>
    <w:rsid w:val="58A00174"/>
    <w:rsid w:val="58D01A6F"/>
    <w:rsid w:val="59304970"/>
    <w:rsid w:val="59B15A33"/>
    <w:rsid w:val="59C55CAF"/>
    <w:rsid w:val="5A594F47"/>
    <w:rsid w:val="5A8E07B6"/>
    <w:rsid w:val="5A9208AC"/>
    <w:rsid w:val="5AC519AF"/>
    <w:rsid w:val="5B4114F7"/>
    <w:rsid w:val="5B9E1277"/>
    <w:rsid w:val="5BAB6284"/>
    <w:rsid w:val="5C0F38C5"/>
    <w:rsid w:val="5C517EEF"/>
    <w:rsid w:val="5C697499"/>
    <w:rsid w:val="5CFA452D"/>
    <w:rsid w:val="5D2E59C9"/>
    <w:rsid w:val="5D5643C4"/>
    <w:rsid w:val="5D757C05"/>
    <w:rsid w:val="5D767DE4"/>
    <w:rsid w:val="5D877637"/>
    <w:rsid w:val="5E0C7DE4"/>
    <w:rsid w:val="5E33344E"/>
    <w:rsid w:val="5E7D301B"/>
    <w:rsid w:val="5E87258C"/>
    <w:rsid w:val="5F4476A8"/>
    <w:rsid w:val="5FBA1529"/>
    <w:rsid w:val="614D69D3"/>
    <w:rsid w:val="61931421"/>
    <w:rsid w:val="61954C64"/>
    <w:rsid w:val="61B52ACC"/>
    <w:rsid w:val="61B80426"/>
    <w:rsid w:val="61CD0301"/>
    <w:rsid w:val="62067F95"/>
    <w:rsid w:val="63582993"/>
    <w:rsid w:val="636E709D"/>
    <w:rsid w:val="63736235"/>
    <w:rsid w:val="63761653"/>
    <w:rsid w:val="639C03D4"/>
    <w:rsid w:val="63BC45E5"/>
    <w:rsid w:val="645B1C35"/>
    <w:rsid w:val="64741BD0"/>
    <w:rsid w:val="64A81D34"/>
    <w:rsid w:val="64A8575F"/>
    <w:rsid w:val="64F0528E"/>
    <w:rsid w:val="65991E30"/>
    <w:rsid w:val="65CA38DD"/>
    <w:rsid w:val="665F5FC6"/>
    <w:rsid w:val="66720F9F"/>
    <w:rsid w:val="66BC4604"/>
    <w:rsid w:val="677B0149"/>
    <w:rsid w:val="6784366C"/>
    <w:rsid w:val="67BB5F66"/>
    <w:rsid w:val="6843121A"/>
    <w:rsid w:val="68A24AB7"/>
    <w:rsid w:val="69396E7E"/>
    <w:rsid w:val="69E26C4C"/>
    <w:rsid w:val="6A200B46"/>
    <w:rsid w:val="6A2469EC"/>
    <w:rsid w:val="6A7C524F"/>
    <w:rsid w:val="6A8120E5"/>
    <w:rsid w:val="6AA607C8"/>
    <w:rsid w:val="6AC1600B"/>
    <w:rsid w:val="6AF54CD2"/>
    <w:rsid w:val="6B2655DF"/>
    <w:rsid w:val="6B3959F5"/>
    <w:rsid w:val="6B47190B"/>
    <w:rsid w:val="6B886671"/>
    <w:rsid w:val="6B8D38E9"/>
    <w:rsid w:val="6C035E5B"/>
    <w:rsid w:val="6CE87F5B"/>
    <w:rsid w:val="6D12171A"/>
    <w:rsid w:val="6DA360F8"/>
    <w:rsid w:val="6DD15316"/>
    <w:rsid w:val="6E016288"/>
    <w:rsid w:val="6E502E84"/>
    <w:rsid w:val="6F7E1D0B"/>
    <w:rsid w:val="70184B0B"/>
    <w:rsid w:val="7062394F"/>
    <w:rsid w:val="70791AB7"/>
    <w:rsid w:val="70C145E1"/>
    <w:rsid w:val="70DF7C25"/>
    <w:rsid w:val="70E9142D"/>
    <w:rsid w:val="71E20ACF"/>
    <w:rsid w:val="7238234E"/>
    <w:rsid w:val="72535F8A"/>
    <w:rsid w:val="727608D5"/>
    <w:rsid w:val="72C30AE4"/>
    <w:rsid w:val="7310149B"/>
    <w:rsid w:val="7380768F"/>
    <w:rsid w:val="738A3F58"/>
    <w:rsid w:val="73BD50B0"/>
    <w:rsid w:val="73F956A2"/>
    <w:rsid w:val="73FE639F"/>
    <w:rsid w:val="74113F78"/>
    <w:rsid w:val="749642C6"/>
    <w:rsid w:val="74B67F0B"/>
    <w:rsid w:val="75695484"/>
    <w:rsid w:val="7661023D"/>
    <w:rsid w:val="76725C62"/>
    <w:rsid w:val="76884120"/>
    <w:rsid w:val="77086156"/>
    <w:rsid w:val="775A42DD"/>
    <w:rsid w:val="776A7994"/>
    <w:rsid w:val="788F2A9C"/>
    <w:rsid w:val="78E656E7"/>
    <w:rsid w:val="78EA6A16"/>
    <w:rsid w:val="78FE18F2"/>
    <w:rsid w:val="79BD574A"/>
    <w:rsid w:val="79CF4EA0"/>
    <w:rsid w:val="7A5E3C4E"/>
    <w:rsid w:val="7A5F668D"/>
    <w:rsid w:val="7A9E7181"/>
    <w:rsid w:val="7AA51E44"/>
    <w:rsid w:val="7ACC1D53"/>
    <w:rsid w:val="7AF31F44"/>
    <w:rsid w:val="7B25271F"/>
    <w:rsid w:val="7B8D2142"/>
    <w:rsid w:val="7B9B5985"/>
    <w:rsid w:val="7BD858DD"/>
    <w:rsid w:val="7C0B2445"/>
    <w:rsid w:val="7C401664"/>
    <w:rsid w:val="7CFF45A2"/>
    <w:rsid w:val="7D0E6DBB"/>
    <w:rsid w:val="7D1E1EAC"/>
    <w:rsid w:val="7D2D24C2"/>
    <w:rsid w:val="7DA21A5D"/>
    <w:rsid w:val="7E745A0B"/>
    <w:rsid w:val="7E781FEE"/>
    <w:rsid w:val="7EDE541E"/>
    <w:rsid w:val="7F5449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
      <w:b/>
      <w:kern w:val="44"/>
      <w:sz w:val="32"/>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276"/>
      </w:tabs>
      <w:ind w:left="420" w:leftChars="200"/>
    </w:pPr>
    <w:rPr>
      <w:rFonts w:ascii="仿宋_GB2312" w:hAnsi="宋体" w:eastAsia="仿宋_GB2312" w:cs="仿宋_GB2312"/>
      <w:b/>
      <w:bCs/>
      <w:sz w:val="24"/>
    </w:rPr>
  </w:style>
  <w:style w:type="paragraph" w:styleId="6">
    <w:name w:val="Body Text Indent"/>
    <w:qFormat/>
    <w:uiPriority w:val="0"/>
    <w:pPr>
      <w:widowControl w:val="0"/>
      <w:spacing w:after="120"/>
      <w:ind w:left="420" w:leftChars="200"/>
      <w:jc w:val="both"/>
    </w:pPr>
    <w:rPr>
      <w:rFonts w:ascii="Times New Roman" w:hAnsi="Times New Roman" w:eastAsia="仿宋_GB2312" w:cs="Times New Roman"/>
      <w:kern w:val="2"/>
      <w:sz w:val="32"/>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customStyle="1" w:styleId="14">
    <w:name w:val="NormalCharacter"/>
    <w:semiHidden/>
    <w:qFormat/>
    <w:uiPriority w:val="0"/>
    <w:rPr>
      <w:rFonts w:ascii="Calibri" w:hAnsi="Calibri" w:eastAsia="宋体" w:cs="宋体"/>
      <w:kern w:val="2"/>
      <w:sz w:val="44"/>
      <w:szCs w:val="44"/>
      <w:lang w:val="en-US" w:eastAsia="zh-CN" w:bidi="ar-SA"/>
    </w:rPr>
  </w:style>
  <w:style w:type="paragraph" w:customStyle="1" w:styleId="15">
    <w:name w:val="列出段落2"/>
    <w:basedOn w:val="1"/>
    <w:qFormat/>
    <w:uiPriority w:val="34"/>
    <w:pPr>
      <w:ind w:firstLine="420" w:firstLineChars="200"/>
    </w:pPr>
  </w:style>
  <w:style w:type="paragraph" w:customStyle="1" w:styleId="16">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paragraph" w:customStyle="1" w:styleId="17">
    <w:name w:val="Default"/>
    <w:qFormat/>
    <w:uiPriority w:val="0"/>
    <w:pPr>
      <w:widowControl w:val="0"/>
      <w:autoSpaceDE w:val="0"/>
      <w:autoSpaceDN w:val="0"/>
      <w:adjustRightInd w:val="0"/>
      <w:spacing w:line="560" w:lineRule="exact"/>
      <w:jc w:val="both"/>
    </w:pPr>
    <w:rPr>
      <w:rFonts w:ascii="宋体" w:hAnsi="宋体" w:eastAsia="仿宋" w:cs="宋体"/>
      <w:color w:val="00000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20</Pages>
  <Words>7621</Words>
  <Characters>8250</Characters>
  <Lines>0</Lines>
  <Paragraphs>0</Paragraphs>
  <TotalTime>3</TotalTime>
  <ScaleCrop>false</ScaleCrop>
  <LinksUpToDate>false</LinksUpToDate>
  <CharactersWithSpaces>8332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LF</dc:creator>
  <cp:lastModifiedBy>汤韵靖</cp:lastModifiedBy>
  <cp:lastPrinted>2025-07-22T03:35:00Z</cp:lastPrinted>
  <dcterms:modified xsi:type="dcterms:W3CDTF">2025-07-23T02:57:05Z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6D06493F5B654079AAD8D3FB46A4F1DF_13</vt:lpwstr>
  </property>
  <property fmtid="{D5CDD505-2E9C-101B-9397-08002B2CF9AE}" pid="4" name="KSOTemplateDocerSaveRecord">
    <vt:lpwstr>eyJoZGlkIjoiZDg1Y2Y5ZDk0Zjk1NWNjZGM4ZWI1Yjg5N2JiMDMyMTUiLCJ1c2VySWQiOiI1MjQxMDg1NjMifQ==</vt:lpwstr>
  </property>
  <property fmtid="{D5CDD505-2E9C-101B-9397-08002B2CF9AE}" pid="5" name="docranid">
    <vt:lpwstr>3D290159900B46CB830CD85E17369008</vt:lpwstr>
  </property>
</Properties>
</file>