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CD74">
      <w:pPr>
        <w:spacing w:line="579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1AB2C9B">
      <w:pPr>
        <w:pStyle w:val="2"/>
        <w:rPr>
          <w:rFonts w:hint="eastAsia"/>
          <w:lang w:val="en-US" w:eastAsia="zh-CN"/>
        </w:rPr>
      </w:pPr>
    </w:p>
    <w:p w14:paraId="560E3AE2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年广州市文化和旅游产业发展专项资金“优秀传统文化传承项目”申报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指南</w:t>
      </w:r>
    </w:p>
    <w:bookmarkEnd w:id="0"/>
    <w:p w14:paraId="1DAF97C8">
      <w:pPr>
        <w:numPr>
          <w:ilvl w:val="0"/>
          <w:numId w:val="0"/>
        </w:numPr>
        <w:spacing w:beforeLines="0" w:afterLines="0" w:line="570" w:lineRule="exact"/>
        <w:rPr>
          <w:rFonts w:hint="default" w:ascii="Times New Roman" w:hAnsi="Times New Roman" w:eastAsia="黑体" w:cs="Times New Roman"/>
          <w:b w:val="0"/>
          <w:bCs w:val="0"/>
          <w:color w:val="000000"/>
        </w:rPr>
      </w:pPr>
    </w:p>
    <w:p w14:paraId="7F1AF5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</w:rPr>
      </w:pPr>
      <w:r>
        <w:rPr>
          <w:rFonts w:hint="default" w:ascii="Times New Roman" w:hAnsi="Times New Roman" w:cs="Times New Roman"/>
          <w:b w:val="0"/>
          <w:bCs w:val="0"/>
        </w:rPr>
        <w:t>为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进一步</w:t>
      </w:r>
      <w:r>
        <w:rPr>
          <w:rFonts w:hint="default" w:ascii="Times New Roman" w:hAnsi="Times New Roman" w:cs="Times New Roman"/>
          <w:b w:val="0"/>
          <w:bCs w:val="0"/>
        </w:rPr>
        <w:t>推动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我市非物质文化遗产（以下简称“非遗”）保护工作</w:t>
      </w:r>
      <w:r>
        <w:rPr>
          <w:rFonts w:hint="default" w:ascii="Times New Roman" w:hAnsi="Times New Roman" w:cs="Times New Roman"/>
          <w:b w:val="0"/>
          <w:bCs w:val="0"/>
        </w:rPr>
        <w:t>，根据《广州市文化和旅游产业发展专项资金管理办法》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广州市非物质文化遗产保护资金管理办法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，特制定本申报指南。</w:t>
      </w:r>
    </w:p>
    <w:p w14:paraId="5E32C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textAlignment w:val="auto"/>
        <w:rPr>
          <w:rFonts w:hint="default" w:eastAsia="黑体" w:cs="Times New Roman"/>
          <w:b w:val="0"/>
          <w:bCs w:val="0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00000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</w:rPr>
        <w:t>申报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主体和金额</w:t>
      </w:r>
    </w:p>
    <w:p w14:paraId="1D02E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27" w:firstLineChars="196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</w:rPr>
        <w:t>（一）市级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eastAsia="zh-CN"/>
        </w:rPr>
        <w:t>及以上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</w:rPr>
        <w:t>非遗代表性项目</w:t>
      </w:r>
      <w:r>
        <w:rPr>
          <w:rFonts w:hint="eastAsia" w:eastAsia="楷体_GB2312" w:cs="Times New Roman"/>
          <w:b w:val="0"/>
          <w:bCs w:val="0"/>
          <w:color w:val="000000"/>
          <w:lang w:eastAsia="zh-CN"/>
        </w:rPr>
        <w:t>保护单位</w:t>
      </w:r>
    </w:p>
    <w:p w14:paraId="0A23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</w:rPr>
        <w:t>已列入市级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及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以上非遗名录项目保护单位，申报金额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最高不超过4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万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元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。</w:t>
      </w:r>
    </w:p>
    <w:p w14:paraId="5E3E65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27" w:firstLineChars="196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永庆坊非遗大师工作室</w:t>
      </w:r>
    </w:p>
    <w:p w14:paraId="7ED2C94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按与我局签订协议中的补助金额。</w:t>
      </w:r>
    </w:p>
    <w:p w14:paraId="4D8781B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（三）市级非遗代表性传承群体</w:t>
      </w:r>
    </w:p>
    <w:p w14:paraId="59880D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已被认定为市级非遗代表性传承群体的，申报金额最高3万元。</w:t>
      </w:r>
    </w:p>
    <w:p w14:paraId="2ABBAE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27" w:firstLineChars="196"/>
        <w:textAlignment w:val="auto"/>
        <w:rPr>
          <w:rFonts w:hint="eastAsia" w:eastAsia="楷体_GB2312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</w:rPr>
        <w:t>市级</w:t>
      </w:r>
      <w:r>
        <w:rPr>
          <w:rFonts w:hint="eastAsia" w:eastAsia="楷体_GB2312" w:cs="Times New Roman"/>
          <w:b w:val="0"/>
          <w:bCs w:val="0"/>
          <w:color w:val="000000"/>
          <w:lang w:eastAsia="zh-CN"/>
        </w:rPr>
        <w:t>（</w:t>
      </w:r>
      <w:r>
        <w:rPr>
          <w:rFonts w:hint="eastAsia" w:eastAsia="楷体_GB2312" w:cs="Times New Roman"/>
          <w:b w:val="0"/>
          <w:bCs w:val="0"/>
          <w:color w:val="000000"/>
          <w:lang w:val="en-US" w:eastAsia="zh-CN"/>
        </w:rPr>
        <w:t>不含国家级和省级）非遗代表性传承人</w:t>
      </w:r>
    </w:p>
    <w:p w14:paraId="742AAE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lang w:val="en-US" w:eastAsia="zh-CN"/>
        </w:rPr>
        <w:t>申报金额最高1万元。</w:t>
      </w:r>
    </w:p>
    <w:p w14:paraId="428E9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</w:rPr>
        <w:t>、申报要求</w:t>
      </w:r>
    </w:p>
    <w:p w14:paraId="7B28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cs="Times New Roman"/>
          <w:b w:val="0"/>
          <w:bCs w:val="0"/>
        </w:rPr>
      </w:pPr>
      <w:r>
        <w:rPr>
          <w:rFonts w:hint="eastAsia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报的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资金，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明确保护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传承工作的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内容、预算申请数和绩效目标，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详细的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计划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、合理的实施周期，并具备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人员、配套资金、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等各项实施条件以及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短期内能够启动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次年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6月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完成的相关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能力。</w:t>
      </w:r>
    </w:p>
    <w:p w14:paraId="243AF0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（二）同一主体、同一事项满足本次申报多项扶持条件的，按照“就高不重复”的原则予以扶持（不含传承人申报）。</w:t>
      </w:r>
    </w:p>
    <w:p w14:paraId="660FC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lang w:eastAsia="zh-CN"/>
        </w:rPr>
        <w:t>（三）有下列情况之一的，不予扶持。</w:t>
      </w:r>
    </w:p>
    <w:p w14:paraId="7ED5B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1、</w:t>
      </w:r>
      <w:r>
        <w:rPr>
          <w:rFonts w:hint="default" w:ascii="Times New Roman" w:hAnsi="Times New Roman" w:cs="Times New Roman"/>
          <w:b w:val="0"/>
          <w:bCs w:val="0"/>
          <w:kern w:val="0"/>
        </w:rPr>
        <w:t>申报主体在两年内发生较大安全生产事故、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较</w:t>
      </w:r>
      <w:r>
        <w:rPr>
          <w:rFonts w:hint="default" w:ascii="Times New Roman" w:hAnsi="Times New Roman" w:cs="Times New Roman"/>
          <w:b w:val="0"/>
          <w:bCs w:val="0"/>
          <w:kern w:val="0"/>
        </w:rPr>
        <w:t>大环境污染事故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的；</w:t>
      </w:r>
      <w:r>
        <w:rPr>
          <w:rFonts w:hint="default" w:ascii="Times New Roman" w:hAnsi="Times New Roman" w:cs="Times New Roman"/>
          <w:b w:val="0"/>
          <w:bCs w:val="0"/>
          <w:kern w:val="0"/>
          <w:lang w:val="en-US" w:eastAsia="zh-CN"/>
        </w:rPr>
        <w:t xml:space="preserve"> </w:t>
      </w:r>
    </w:p>
    <w:p w14:paraId="2C0EF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</w:pPr>
      <w:r>
        <w:rPr>
          <w:rFonts w:hint="eastAsia" w:cs="Times New Roman"/>
          <w:b w:val="0"/>
          <w:bCs w:val="0"/>
          <w:kern w:val="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kern w:val="0"/>
          <w:lang w:val="en-US" w:eastAsia="zh-CN"/>
        </w:rPr>
        <w:t>2、</w:t>
      </w:r>
      <w:r>
        <w:rPr>
          <w:rFonts w:hint="default" w:ascii="Times New Roman" w:hAnsi="Times New Roman" w:cs="Times New Roman"/>
          <w:b w:val="0"/>
          <w:bCs w:val="0"/>
          <w:kern w:val="0"/>
        </w:rPr>
        <w:t>申报主体在两年内发生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较</w:t>
      </w:r>
      <w:r>
        <w:rPr>
          <w:rFonts w:hint="default" w:ascii="Times New Roman" w:hAnsi="Times New Roman" w:cs="Times New Roman"/>
          <w:b w:val="0"/>
          <w:bCs w:val="0"/>
          <w:kern w:val="0"/>
        </w:rPr>
        <w:t>大违法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违规</w:t>
      </w:r>
      <w:r>
        <w:rPr>
          <w:rFonts w:hint="default" w:ascii="Times New Roman" w:hAnsi="Times New Roman" w:cs="Times New Roman"/>
          <w:b w:val="0"/>
          <w:bCs w:val="0"/>
          <w:kern w:val="0"/>
        </w:rPr>
        <w:t>行为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的；</w:t>
      </w:r>
    </w:p>
    <w:p w14:paraId="55945C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3、申报单位没有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财务制度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的；</w:t>
      </w:r>
    </w:p>
    <w:p w14:paraId="1716CD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4、不能参加集中评审的；</w:t>
      </w:r>
    </w:p>
    <w:p w14:paraId="08127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5、保护资金拟用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于基础设施建设、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支付各种罚款、捐款、赞助、投资等支出的；</w:t>
      </w:r>
    </w:p>
    <w:p w14:paraId="451D1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6、保护资金拟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用于单位人员工资或福利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的；</w:t>
      </w:r>
    </w:p>
    <w:p w14:paraId="33688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7、保护资金拟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用于以营利为目的的生产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资料购买的;</w:t>
      </w:r>
    </w:p>
    <w:p w14:paraId="45F26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8、保护资金拟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用于个人专著出版的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；</w:t>
      </w:r>
    </w:p>
    <w:p w14:paraId="1986F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9、保护资金拟用于开展传承传播等活动购买必要的、损耗性的原材料、辅料、工具、道具等资金，超过申报资金总数20%的;</w:t>
      </w:r>
    </w:p>
    <w:p w14:paraId="1D3F1C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10、因个人欠款被法院追缴，拟用保护资金偿还债务及存在相关风险的;</w:t>
      </w:r>
    </w:p>
    <w:p w14:paraId="6A716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lang w:val="en-US" w:eastAsia="zh-CN"/>
        </w:rPr>
        <w:t>11、</w:t>
      </w:r>
      <w:r>
        <w:rPr>
          <w:rFonts w:hint="default" w:ascii="Times New Roman" w:hAnsi="Times New Roman" w:cs="Times New Roman"/>
          <w:b w:val="0"/>
          <w:bCs w:val="0"/>
          <w:kern w:val="0"/>
        </w:rPr>
        <w:t>同一单位同一项目当年度已经获得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各级</w:t>
      </w:r>
      <w:r>
        <w:rPr>
          <w:rFonts w:hint="default" w:ascii="Times New Roman" w:hAnsi="Times New Roman" w:cs="Times New Roman"/>
          <w:b w:val="0"/>
          <w:bCs w:val="0"/>
          <w:kern w:val="0"/>
        </w:rPr>
        <w:t>财政类扶持资金的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；</w:t>
      </w:r>
    </w:p>
    <w:p w14:paraId="6C1F3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</w:rPr>
        <w:t>）</w:t>
      </w:r>
      <w:r>
        <w:rPr>
          <w:rFonts w:hint="eastAsia" w:ascii="仿宋_GB2312" w:hAnsi="仿宋_GB2312" w:cs="仿宋_GB2312"/>
          <w:b w:val="0"/>
          <w:bCs w:val="0"/>
          <w:color w:val="000000"/>
          <w:lang w:eastAsia="zh-CN"/>
        </w:rPr>
        <w:t>非遗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lang w:eastAsia="zh-CN"/>
        </w:rPr>
        <w:t>代表性项目保护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lang w:val="en-US" w:eastAsia="zh-CN"/>
        </w:rPr>
        <w:t>资金申报要求</w:t>
      </w:r>
    </w:p>
    <w:p w14:paraId="1CAE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.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近两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val="en-US" w:eastAsia="zh-CN"/>
        </w:rPr>
        <w:t>年未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</w:rPr>
        <w:t>享受过国家、省、市补助的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  <w:t>重点申报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;</w:t>
      </w:r>
    </w:p>
    <w:p w14:paraId="6D02E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各区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和市非遗保护中心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申报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项目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分别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不超过所属项目的2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；</w:t>
      </w:r>
    </w:p>
    <w:p w14:paraId="1AA1B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.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2023、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年度已获得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过各级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补助资金的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，暂不申报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。</w:t>
      </w:r>
    </w:p>
    <w:p w14:paraId="7EE03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lang w:val="en-US" w:eastAsia="zh-CN"/>
        </w:rPr>
        <w:t>五</w:t>
      </w:r>
      <w:r>
        <w:rPr>
          <w:rFonts w:hint="eastAsia" w:ascii="仿宋_GB2312" w:hAnsi="仿宋_GB2312" w:cs="仿宋_GB2312"/>
          <w:b w:val="0"/>
          <w:bCs w:val="0"/>
          <w:color w:val="00000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lang w:val="en-US" w:eastAsia="zh-CN"/>
        </w:rPr>
        <w:t>重点使用方向</w:t>
      </w:r>
    </w:p>
    <w:p w14:paraId="1DCE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代表性项目的保护工作</w:t>
      </w:r>
      <w:r>
        <w:rPr>
          <w:rFonts w:hint="eastAsia" w:cs="Times New Roman"/>
          <w:b w:val="0"/>
          <w:bCs w:val="0"/>
          <w:color w:val="000000"/>
          <w:lang w:eastAsia="zh-CN"/>
        </w:rPr>
        <w:t>；</w:t>
      </w:r>
    </w:p>
    <w:p w14:paraId="4D13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传承工作。包括人才培养、收徒授艺、展示展演、编写材料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、拍摄展示片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等</w:t>
      </w:r>
      <w:r>
        <w:rPr>
          <w:rFonts w:hint="eastAsia" w:cs="Times New Roman"/>
          <w:b w:val="0"/>
          <w:bCs w:val="0"/>
          <w:color w:val="000000"/>
          <w:lang w:eastAsia="zh-CN"/>
        </w:rPr>
        <w:t>；</w:t>
      </w:r>
    </w:p>
    <w:p w14:paraId="48D1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传播工作。包括教育普及（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景区、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博物馆、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校园、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商场、</w:t>
      </w:r>
      <w:r>
        <w:rPr>
          <w:rFonts w:hint="default" w:ascii="Times New Roman" w:hAnsi="Times New Roman" w:cs="Times New Roman"/>
          <w:b w:val="0"/>
          <w:bCs w:val="0"/>
          <w:color w:val="000000"/>
          <w:lang w:eastAsia="zh-CN"/>
        </w:rPr>
        <w:t>在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社区等）、文旅融合宣传推广等。</w:t>
      </w:r>
    </w:p>
    <w:p w14:paraId="18723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</w:rPr>
        <w:t>、申报程序</w:t>
      </w:r>
    </w:p>
    <w:p w14:paraId="212DA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区属申报主体向区文化旅游主管部门提交</w:t>
      </w:r>
      <w:r>
        <w:rPr>
          <w:rFonts w:cs="Times New Roman"/>
          <w:b w:val="0"/>
          <w:bCs w:val="0"/>
        </w:rPr>
        <w:t>材料</w:t>
      </w:r>
      <w:r>
        <w:rPr>
          <w:rFonts w:hint="default" w:cs="Times New Roman"/>
          <w:b w:val="0"/>
          <w:bCs w:val="0"/>
          <w:lang w:eastAsia="zh-CN"/>
        </w:rPr>
        <w:t>，</w:t>
      </w:r>
      <w:r>
        <w:rPr>
          <w:rFonts w:cs="Times New Roman"/>
          <w:b w:val="0"/>
          <w:bCs w:val="0"/>
        </w:rPr>
        <w:t>各区文</w:t>
      </w:r>
      <w:r>
        <w:rPr>
          <w:rFonts w:hint="eastAsia" w:cs="Times New Roman"/>
          <w:b w:val="0"/>
          <w:bCs w:val="0"/>
          <w:lang w:eastAsia="zh-CN"/>
        </w:rPr>
        <w:t>广</w:t>
      </w:r>
      <w:r>
        <w:rPr>
          <w:rFonts w:cs="Times New Roman"/>
          <w:b w:val="0"/>
          <w:bCs w:val="0"/>
        </w:rPr>
        <w:t>旅（体）局</w:t>
      </w:r>
      <w:r>
        <w:rPr>
          <w:rFonts w:hint="eastAsia" w:cs="Times New Roman"/>
          <w:b w:val="0"/>
          <w:bCs w:val="0"/>
          <w:lang w:eastAsia="zh-CN"/>
        </w:rPr>
        <w:t>对本区的申报材料</w:t>
      </w:r>
      <w:r>
        <w:rPr>
          <w:rFonts w:cs="Times New Roman"/>
          <w:b w:val="0"/>
          <w:bCs w:val="0"/>
        </w:rPr>
        <w:t>进行审</w:t>
      </w:r>
      <w:r>
        <w:rPr>
          <w:rFonts w:hint="eastAsia" w:cs="Times New Roman"/>
          <w:b w:val="0"/>
          <w:bCs w:val="0"/>
          <w:lang w:val="en-US" w:eastAsia="zh-CN"/>
        </w:rPr>
        <w:t>核</w:t>
      </w:r>
      <w:r>
        <w:rPr>
          <w:rFonts w:hint="eastAsia" w:cs="Times New Roman"/>
          <w:b w:val="0"/>
          <w:bCs w:val="0"/>
        </w:rPr>
        <w:t>，</w:t>
      </w:r>
      <w:r>
        <w:rPr>
          <w:rFonts w:hint="eastAsia" w:cs="Times New Roman"/>
          <w:b w:val="0"/>
          <w:bCs w:val="0"/>
          <w:lang w:eastAsia="zh-CN"/>
        </w:rPr>
        <w:t>按比例要求，同意其申报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ADDIN CNKISM.UserStyle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的，在《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广州市文化和旅游产业发展专项资金申报表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）》上加盖公章确认，再由申报主体上传到“穗政通”政策兑现平台。</w:t>
      </w:r>
    </w:p>
    <w:p w14:paraId="47CB5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市属申报主体向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市非遗保护中心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提交申报材料，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市非遗保护中心</w:t>
      </w:r>
      <w:r>
        <w:rPr>
          <w:rFonts w:cs="Times New Roman"/>
          <w:b w:val="0"/>
          <w:bCs w:val="0"/>
        </w:rPr>
        <w:t>进行审</w:t>
      </w:r>
      <w:r>
        <w:rPr>
          <w:rFonts w:hint="eastAsia" w:cs="Times New Roman"/>
          <w:b w:val="0"/>
          <w:bCs w:val="0"/>
          <w:lang w:val="en-US" w:eastAsia="zh-CN"/>
        </w:rPr>
        <w:t>核</w:t>
      </w:r>
      <w:r>
        <w:rPr>
          <w:rFonts w:hint="eastAsia" w:cs="Times New Roman"/>
          <w:b w:val="0"/>
          <w:bCs w:val="0"/>
        </w:rPr>
        <w:t>，</w:t>
      </w:r>
      <w:r>
        <w:rPr>
          <w:rFonts w:hint="eastAsia" w:cs="Times New Roman"/>
          <w:b w:val="0"/>
          <w:bCs w:val="0"/>
          <w:lang w:eastAsia="zh-CN"/>
        </w:rPr>
        <w:t>按比例要求，同意其申报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ADDIN CNKISM.UserStyle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的，在《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广州市文化和旅游产业发展专项资金申报表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）》上加盖公章确认，再由申报主体上传到“穗政通”政策兑现平台。</w:t>
      </w:r>
    </w:p>
    <w:p w14:paraId="57890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cs="Times New Roman"/>
          <w:b w:val="0"/>
          <w:bCs w:val="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（三）网上提交。</w:t>
      </w:r>
      <w:r>
        <w:rPr>
          <w:rFonts w:cs="Times New Roman"/>
          <w:b w:val="0"/>
          <w:bCs w:val="0"/>
          <w:kern w:val="0"/>
        </w:rPr>
        <w:t>按照公开申报时间，</w:t>
      </w:r>
      <w:r>
        <w:rPr>
          <w:rFonts w:cs="Times New Roman"/>
          <w:b w:val="0"/>
          <w:bCs w:val="0"/>
        </w:rPr>
        <w:t>各申报</w:t>
      </w:r>
      <w:r>
        <w:rPr>
          <w:rFonts w:hint="default" w:cs="Times New Roman"/>
          <w:b w:val="0"/>
          <w:bCs w:val="0"/>
          <w:lang w:eastAsia="zh-CN"/>
        </w:rPr>
        <w:t>主体</w:t>
      </w:r>
      <w:r>
        <w:rPr>
          <w:rFonts w:cs="Times New Roman"/>
          <w:b w:val="0"/>
          <w:bCs w:val="0"/>
          <w:kern w:val="0"/>
        </w:rPr>
        <w:t>需在</w:t>
      </w:r>
      <w:r>
        <w:rPr>
          <w:rFonts w:hint="eastAsia" w:cs="Times New Roman"/>
          <w:b w:val="0"/>
          <w:bCs w:val="0"/>
          <w:kern w:val="0"/>
        </w:rPr>
        <w:t>“穗政通”政策兑现平台实名注册和登录，点击“兑资金”切换“兑现事项”，搜索“</w:t>
      </w:r>
      <w:r>
        <w:rPr>
          <w:rFonts w:hint="eastAsia" w:cs="Times New Roman"/>
          <w:b w:val="0"/>
          <w:bCs w:val="0"/>
          <w:kern w:val="0"/>
          <w:lang w:eastAsia="zh-CN"/>
        </w:rPr>
        <w:t>优秀传统文化传承</w:t>
      </w:r>
      <w:r>
        <w:rPr>
          <w:rFonts w:hint="eastAsia" w:cs="Times New Roman"/>
          <w:b w:val="0"/>
          <w:bCs w:val="0"/>
          <w:kern w:val="0"/>
        </w:rPr>
        <w:t>”</w:t>
      </w:r>
      <w:r>
        <w:rPr>
          <w:rFonts w:hint="eastAsia" w:cs="Times New Roman"/>
          <w:b w:val="0"/>
          <w:bCs w:val="0"/>
          <w:kern w:val="0"/>
          <w:lang w:eastAsia="zh-CN"/>
        </w:rPr>
        <w:t>项目名称，上传</w:t>
      </w:r>
      <w:r>
        <w:rPr>
          <w:rFonts w:hint="eastAsia" w:cs="Times New Roman"/>
          <w:b w:val="0"/>
          <w:bCs w:val="0"/>
          <w:kern w:val="0"/>
        </w:rPr>
        <w:t>申请材料</w:t>
      </w:r>
      <w:r>
        <w:rPr>
          <w:rFonts w:cs="Times New Roman"/>
          <w:b w:val="0"/>
          <w:bCs w:val="0"/>
          <w:kern w:val="0"/>
        </w:rPr>
        <w:t>，</w:t>
      </w:r>
      <w:r>
        <w:rPr>
          <w:rFonts w:cs="Times New Roman"/>
          <w:b w:val="0"/>
          <w:bCs w:val="0"/>
        </w:rPr>
        <w:t>逾期不予受理。</w:t>
      </w:r>
    </w:p>
    <w:p w14:paraId="572CF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（四）专家评审。</w:t>
      </w:r>
      <w:r>
        <w:rPr>
          <w:rFonts w:cs="Times New Roman"/>
          <w:b w:val="0"/>
          <w:bCs w:val="0"/>
          <w:kern w:val="0"/>
        </w:rPr>
        <w:t>由市文化广电旅游局委托第三方机构对申报</w:t>
      </w:r>
      <w:r>
        <w:rPr>
          <w:rFonts w:hint="eastAsia" w:cs="Times New Roman"/>
          <w:b w:val="0"/>
          <w:bCs w:val="0"/>
          <w:kern w:val="0"/>
          <w:lang w:eastAsia="zh-CN"/>
        </w:rPr>
        <w:t>内容</w:t>
      </w:r>
      <w:r>
        <w:rPr>
          <w:rFonts w:cs="Times New Roman"/>
          <w:b w:val="0"/>
          <w:bCs w:val="0"/>
          <w:kern w:val="0"/>
        </w:rPr>
        <w:t>进行联合评审，提出</w:t>
      </w:r>
      <w:r>
        <w:rPr>
          <w:rFonts w:hint="eastAsia" w:cs="Times New Roman"/>
          <w:b w:val="0"/>
          <w:bCs w:val="0"/>
          <w:kern w:val="0"/>
          <w:lang w:eastAsia="zh-CN"/>
        </w:rPr>
        <w:t>保护</w:t>
      </w:r>
      <w:r>
        <w:rPr>
          <w:rFonts w:cs="Times New Roman"/>
          <w:b w:val="0"/>
          <w:bCs w:val="0"/>
          <w:kern w:val="0"/>
        </w:rPr>
        <w:t>资金使用意见。经联合评审专家小组集体审议，</w:t>
      </w:r>
      <w:r>
        <w:rPr>
          <w:rFonts w:hint="eastAsia" w:cs="Times New Roman"/>
          <w:b w:val="0"/>
          <w:bCs w:val="0"/>
          <w:kern w:val="0"/>
          <w:lang w:eastAsia="zh-CN"/>
        </w:rPr>
        <w:t>确定获补助的单位、人</w:t>
      </w:r>
      <w:r>
        <w:rPr>
          <w:rFonts w:hint="eastAsia" w:cs="Times New Roman"/>
          <w:b w:val="0"/>
          <w:bCs w:val="0"/>
          <w:kern w:val="0"/>
          <w:lang w:val="en-US" w:eastAsia="zh-CN"/>
        </w:rPr>
        <w:t>员</w:t>
      </w:r>
      <w:r>
        <w:rPr>
          <w:rFonts w:hint="eastAsia" w:cs="Times New Roman"/>
          <w:b w:val="0"/>
          <w:bCs w:val="0"/>
          <w:kern w:val="0"/>
          <w:lang w:eastAsia="zh-CN"/>
        </w:rPr>
        <w:t>和金额</w:t>
      </w:r>
      <w:r>
        <w:rPr>
          <w:rFonts w:cs="Times New Roman"/>
          <w:b w:val="0"/>
          <w:bCs w:val="0"/>
        </w:rPr>
        <w:t>。</w:t>
      </w:r>
    </w:p>
    <w:p w14:paraId="7CDE1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cs="Times New Roman"/>
          <w:b w:val="0"/>
          <w:bCs w:val="0"/>
          <w:kern w:val="0"/>
        </w:rPr>
      </w:pPr>
      <w:r>
        <w:rPr>
          <w:rFonts w:cs="Times New Roman"/>
          <w:b w:val="0"/>
          <w:bCs w:val="0"/>
          <w:kern w:val="0"/>
        </w:rPr>
        <w:t>（</w:t>
      </w:r>
      <w:r>
        <w:rPr>
          <w:rFonts w:hint="eastAsia" w:cs="Times New Roman"/>
          <w:b w:val="0"/>
          <w:bCs w:val="0"/>
          <w:kern w:val="0"/>
          <w:lang w:eastAsia="zh-CN"/>
        </w:rPr>
        <w:t>五</w:t>
      </w:r>
      <w:r>
        <w:rPr>
          <w:rFonts w:cs="Times New Roman"/>
          <w:b w:val="0"/>
          <w:bCs w:val="0"/>
          <w:kern w:val="0"/>
        </w:rPr>
        <w:t>）主管单位审定。由市文化广电旅游局按程序</w:t>
      </w:r>
      <w:r>
        <w:rPr>
          <w:rFonts w:hint="eastAsia" w:cs="Times New Roman"/>
          <w:b w:val="0"/>
          <w:bCs w:val="0"/>
          <w:kern w:val="0"/>
          <w:lang w:eastAsia="zh-CN"/>
        </w:rPr>
        <w:t>对评审结果</w:t>
      </w:r>
      <w:r>
        <w:rPr>
          <w:rFonts w:cs="Times New Roman"/>
          <w:b w:val="0"/>
          <w:bCs w:val="0"/>
          <w:kern w:val="0"/>
        </w:rPr>
        <w:t>审定。</w:t>
      </w:r>
    </w:p>
    <w:p w14:paraId="37DF2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  <w:kern w:val="0"/>
        </w:rPr>
        <w:t>（</w:t>
      </w:r>
      <w:r>
        <w:rPr>
          <w:rFonts w:hint="eastAsia" w:cs="Times New Roman"/>
          <w:b w:val="0"/>
          <w:bCs w:val="0"/>
          <w:kern w:val="0"/>
          <w:lang w:eastAsia="zh-CN"/>
        </w:rPr>
        <w:t>六</w:t>
      </w:r>
      <w:r>
        <w:rPr>
          <w:rFonts w:cs="Times New Roman"/>
          <w:b w:val="0"/>
          <w:bCs w:val="0"/>
          <w:kern w:val="0"/>
        </w:rPr>
        <w:t>）公示。</w:t>
      </w:r>
      <w:r>
        <w:rPr>
          <w:rFonts w:hint="eastAsia" w:cs="Times New Roman"/>
          <w:b w:val="0"/>
          <w:bCs w:val="0"/>
          <w:kern w:val="0"/>
          <w:lang w:eastAsia="zh-CN"/>
        </w:rPr>
        <w:t>将审定结果</w:t>
      </w:r>
      <w:r>
        <w:rPr>
          <w:rFonts w:cs="Times New Roman"/>
          <w:b w:val="0"/>
          <w:bCs w:val="0"/>
          <w:kern w:val="0"/>
        </w:rPr>
        <w:t>在</w:t>
      </w:r>
      <w:r>
        <w:rPr>
          <w:rFonts w:hint="eastAsia" w:cs="Times New Roman"/>
          <w:b w:val="0"/>
          <w:bCs w:val="0"/>
          <w:kern w:val="0"/>
        </w:rPr>
        <w:t>“穗@i企-穗政通”政策兑现平台</w:t>
      </w:r>
      <w:r>
        <w:rPr>
          <w:rFonts w:hint="eastAsia" w:cs="Times New Roman"/>
          <w:b w:val="0"/>
          <w:bCs w:val="0"/>
          <w:lang w:eastAsia="zh-CN"/>
        </w:rPr>
        <w:t>和</w:t>
      </w:r>
      <w:r>
        <w:rPr>
          <w:rFonts w:cs="Times New Roman"/>
          <w:b w:val="0"/>
          <w:bCs w:val="0"/>
          <w:kern w:val="0"/>
        </w:rPr>
        <w:t>广州市文化广电旅游局官方网站公示。</w:t>
      </w:r>
    </w:p>
    <w:p w14:paraId="7C750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  <w:r>
        <w:rPr>
          <w:rFonts w:cs="Times New Roman"/>
          <w:b w:val="0"/>
          <w:bCs w:val="0"/>
          <w:kern w:val="0"/>
        </w:rPr>
        <w:t>（</w:t>
      </w:r>
      <w:r>
        <w:rPr>
          <w:rFonts w:hint="eastAsia" w:cs="Times New Roman"/>
          <w:b w:val="0"/>
          <w:bCs w:val="0"/>
          <w:kern w:val="0"/>
          <w:lang w:eastAsia="zh-CN"/>
        </w:rPr>
        <w:t>七</w:t>
      </w:r>
      <w:r>
        <w:rPr>
          <w:rFonts w:cs="Times New Roman"/>
          <w:b w:val="0"/>
          <w:bCs w:val="0"/>
          <w:kern w:val="0"/>
        </w:rPr>
        <w:t>）拨付。</w:t>
      </w:r>
      <w:r>
        <w:rPr>
          <w:rFonts w:hint="default" w:ascii="Times New Roman" w:hAnsi="Times New Roman" w:cs="Times New Roman"/>
          <w:b w:val="0"/>
          <w:bCs w:val="0"/>
          <w:kern w:val="0"/>
        </w:rPr>
        <w:t>市文化广电旅游局按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程序</w:t>
      </w:r>
      <w:r>
        <w:rPr>
          <w:rFonts w:hint="default" w:ascii="Times New Roman" w:hAnsi="Times New Roman" w:cs="Times New Roman"/>
          <w:b w:val="0"/>
          <w:bCs w:val="0"/>
          <w:kern w:val="0"/>
        </w:rPr>
        <w:t>拨付</w:t>
      </w:r>
      <w:r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  <w:t>保护资金。</w:t>
      </w:r>
    </w:p>
    <w:p w14:paraId="5C250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2FCCB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23649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435F6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46B38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794C8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44ACF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p w14:paraId="288FC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19EABC-3DC9-44C0-B047-260D87560A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EE8AF2-4C16-41A5-A14B-8DC34DDEAE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73C5E52-5A02-4F76-93C7-0CF80601D7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04CE68E-E671-4CB0-BA55-43FB0B74455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78365FC-8817-4DFD-816D-56F6C4F4E72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C992C327-ADD5-4A44-B13E-78B2DEB1DD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1A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56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0CC6C">
                          <w:pPr>
                            <w:pStyle w:val="3"/>
                            <w:ind w:right="80" w:rightChars="2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25pt;mso-position-horizontal:outside;mso-position-horizontal-relative:margin;z-index:251659264;mso-width-relative:page;mso-height-relative:page;" filled="f" stroked="f" coordsize="21600,21600" o:gfxdata="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YU4m+0wAAAAUBAAAPAAAAAAAAAAEAIAAAACIAAABkcnMvZG93bnJldi54&#10;bWxQSwECFAAUAAAACACHTuJAH1G4JMYBAACMAwAADgAAAAAAAAABACAAAAAi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E0CC6C">
                    <w:pPr>
                      <w:pStyle w:val="3"/>
                      <w:ind w:right="80" w:rightChars="2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E595F"/>
    <w:multiLevelType w:val="singleLevel"/>
    <w:tmpl w:val="BEBE595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97D40"/>
    <w:rsid w:val="5D4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2025-07-30T02:04:00Z</dcterms:created>
  <dc:creator>Cheny</dc:creator>
  <cp:lastModifiedBy>Cheny</cp:lastModifiedBy>
  <dcterms:modified xsi:type="dcterms:W3CDTF">2025-07-30T02:05:33Z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FCDD0CC352494042845E2B4CF81EB991_11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