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w:t>
      </w:r>
    </w:p>
    <w:p>
      <w:pPr>
        <w:jc w:val="center"/>
        <w:rPr>
          <w:rFonts w:ascii="方正小标宋简体" w:hAnsi="方正小标宋简体" w:eastAsia="方正小标宋简体"/>
          <w:sz w:val="40"/>
          <w:szCs w:val="40"/>
        </w:rPr>
      </w:pPr>
      <w:bookmarkStart w:id="0" w:name="_GoBack"/>
      <w:r>
        <w:rPr>
          <w:rFonts w:hint="eastAsia" w:ascii="方正小标宋简体" w:hAnsi="方正小标宋简体" w:eastAsia="方正小标宋简体"/>
          <w:sz w:val="40"/>
          <w:szCs w:val="40"/>
        </w:rPr>
        <w:t>2020年粤港澳大湾区高价值专利培育布局大赛百强名单</w:t>
      </w:r>
      <w:bookmarkEnd w:id="0"/>
    </w:p>
    <w:p>
      <w:pPr>
        <w:jc w:val="center"/>
        <w:rPr>
          <w:rFonts w:ascii="方正小标宋简体" w:hAnsi="方正小标宋简体" w:eastAsia="方正小标宋简体"/>
          <w:szCs w:val="21"/>
        </w:rPr>
      </w:pPr>
      <w:r>
        <w:rPr>
          <w:rFonts w:hint="eastAsia" w:ascii="方正小标宋简体" w:hAnsi="方正小标宋简体" w:eastAsia="方正小标宋简体"/>
          <w:szCs w:val="21"/>
        </w:rPr>
        <w:t>（排名按照领域分类，同一领域先初创、后成长，同一领域同一组按报名编号顺序排列）</w:t>
      </w:r>
    </w:p>
    <w:tbl>
      <w:tblPr>
        <w:tblStyle w:val="4"/>
        <w:tblW w:w="10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990"/>
        <w:gridCol w:w="2268"/>
        <w:gridCol w:w="3578"/>
        <w:gridCol w:w="124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848" w:type="dxa"/>
            <w:vAlign w:val="center"/>
          </w:tcPr>
          <w:p>
            <w:pPr>
              <w:jc w:val="center"/>
              <w:rPr>
                <w:rFonts w:ascii="黑体" w:hAnsi="黑体" w:eastAsia="黑体"/>
                <w:b/>
                <w:bCs/>
                <w:sz w:val="24"/>
                <w:szCs w:val="24"/>
              </w:rPr>
            </w:pPr>
            <w:r>
              <w:rPr>
                <w:rFonts w:hint="eastAsia" w:ascii="黑体" w:hAnsi="黑体" w:eastAsia="黑体"/>
                <w:b/>
                <w:bCs/>
                <w:sz w:val="24"/>
                <w:szCs w:val="24"/>
                <w:lang w:eastAsia="zh-CN"/>
              </w:rPr>
              <w:t>报名</w:t>
            </w:r>
            <w:r>
              <w:rPr>
                <w:rFonts w:hint="eastAsia" w:ascii="黑体" w:hAnsi="黑体" w:eastAsia="黑体"/>
                <w:b/>
                <w:bCs/>
                <w:sz w:val="24"/>
                <w:szCs w:val="24"/>
              </w:rPr>
              <w:t>编号</w:t>
            </w:r>
          </w:p>
        </w:tc>
        <w:tc>
          <w:tcPr>
            <w:tcW w:w="990" w:type="dxa"/>
            <w:vAlign w:val="center"/>
          </w:tcPr>
          <w:p>
            <w:pPr>
              <w:jc w:val="center"/>
              <w:rPr>
                <w:rFonts w:ascii="黑体" w:hAnsi="黑体" w:eastAsia="黑体"/>
                <w:b/>
                <w:bCs/>
                <w:sz w:val="24"/>
                <w:szCs w:val="24"/>
              </w:rPr>
            </w:pPr>
            <w:r>
              <w:rPr>
                <w:rFonts w:hint="eastAsia" w:ascii="黑体" w:hAnsi="黑体" w:eastAsia="黑体"/>
                <w:b/>
                <w:bCs/>
                <w:sz w:val="24"/>
                <w:szCs w:val="24"/>
              </w:rPr>
              <w:t>区域</w:t>
            </w:r>
          </w:p>
        </w:tc>
        <w:tc>
          <w:tcPr>
            <w:tcW w:w="2268" w:type="dxa"/>
            <w:vAlign w:val="center"/>
          </w:tcPr>
          <w:p>
            <w:pPr>
              <w:jc w:val="center"/>
              <w:rPr>
                <w:rFonts w:ascii="黑体" w:hAnsi="黑体" w:eastAsia="黑体"/>
                <w:b/>
                <w:bCs/>
                <w:sz w:val="24"/>
                <w:szCs w:val="24"/>
              </w:rPr>
            </w:pPr>
            <w:r>
              <w:rPr>
                <w:rFonts w:hint="eastAsia" w:ascii="黑体" w:hAnsi="黑体" w:eastAsia="黑体"/>
                <w:b/>
                <w:bCs/>
                <w:sz w:val="24"/>
                <w:szCs w:val="24"/>
              </w:rPr>
              <w:t>牵头参赛单位</w:t>
            </w:r>
          </w:p>
        </w:tc>
        <w:tc>
          <w:tcPr>
            <w:tcW w:w="3578" w:type="dxa"/>
            <w:vAlign w:val="center"/>
          </w:tcPr>
          <w:p>
            <w:pPr>
              <w:jc w:val="center"/>
              <w:rPr>
                <w:rFonts w:ascii="黑体" w:hAnsi="黑体" w:eastAsia="黑体"/>
                <w:b/>
                <w:bCs/>
                <w:sz w:val="24"/>
                <w:szCs w:val="24"/>
              </w:rPr>
            </w:pPr>
            <w:r>
              <w:rPr>
                <w:rFonts w:hint="eastAsia" w:ascii="黑体" w:hAnsi="黑体" w:eastAsia="黑体"/>
                <w:b/>
                <w:bCs/>
                <w:sz w:val="24"/>
                <w:szCs w:val="24"/>
              </w:rPr>
              <w:t>项目名称</w:t>
            </w:r>
          </w:p>
        </w:tc>
        <w:tc>
          <w:tcPr>
            <w:tcW w:w="1242" w:type="dxa"/>
            <w:vAlign w:val="center"/>
          </w:tcPr>
          <w:p>
            <w:pPr>
              <w:jc w:val="center"/>
              <w:rPr>
                <w:rFonts w:ascii="黑体" w:hAnsi="黑体" w:eastAsia="黑体"/>
                <w:b/>
                <w:bCs/>
                <w:sz w:val="24"/>
                <w:szCs w:val="24"/>
              </w:rPr>
            </w:pPr>
            <w:r>
              <w:rPr>
                <w:rFonts w:hint="eastAsia" w:ascii="黑体" w:hAnsi="黑体" w:eastAsia="黑体"/>
                <w:b/>
                <w:bCs/>
                <w:sz w:val="24"/>
                <w:szCs w:val="24"/>
              </w:rPr>
              <w:t>项目领域</w:t>
            </w:r>
          </w:p>
        </w:tc>
        <w:tc>
          <w:tcPr>
            <w:tcW w:w="1275" w:type="dxa"/>
            <w:vAlign w:val="center"/>
          </w:tcPr>
          <w:p>
            <w:pPr>
              <w:jc w:val="center"/>
              <w:rPr>
                <w:rFonts w:ascii="黑体" w:hAnsi="黑体" w:eastAsia="黑体"/>
                <w:b/>
                <w:bCs/>
                <w:sz w:val="24"/>
                <w:szCs w:val="24"/>
              </w:rPr>
            </w:pPr>
            <w:r>
              <w:rPr>
                <w:rFonts w:hint="eastAsia" w:ascii="黑体" w:hAnsi="黑体" w:eastAsia="黑体"/>
                <w:b/>
                <w:bCs/>
                <w:sz w:val="24"/>
                <w:szCs w:val="24"/>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1274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珠海丹德图像技术有限公司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基于人工智能与大数据技术的知识产权保护暨商标侵权在线监测与智能预警系统开发与应用研究</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1783</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香港</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万御科技集团有限公司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Infanity3D</w:t>
            </w:r>
            <w:r>
              <w:rPr>
                <w:rFonts w:ascii="Segoe UI Symbol" w:hAnsi="Segoe UI Symbol" w:eastAsia="仿宋_GB2312" w:cs="Segoe UI Symbol"/>
                <w:sz w:val="24"/>
                <w:szCs w:val="24"/>
              </w:rPr>
              <w:t>™</w:t>
            </w:r>
            <w:r>
              <w:rPr>
                <w:rFonts w:hint="eastAsia" w:ascii="仿宋_GB2312" w:hAnsi="宋体" w:eastAsia="仿宋_GB2312"/>
                <w:sz w:val="24"/>
                <w:szCs w:val="24"/>
              </w:rPr>
              <w:t xml:space="preserve"> 3D悬空影像系统</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2529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深圳一代科技有限公司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纸尿裤产业产品智能化升级关键技术专利培育及布局</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3463</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深圳梨享计算有限公司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梨享Pear Fog共享雾计算</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4539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深圳市国华识别科技开发有限公司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新一代智慧电视 --- 多模态识别技术</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6994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华南理工大学</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一种具有高选择性和低交叉极化的双极化滤波天线</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8000</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广州爱浦路网络技术有限公司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4G/5G核心网项目</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8329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其他</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中科驭数（北京）科技有限公司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基于KPU专用架构的数据库与网络一体化加速产品解决方案</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1395</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TCL实业控股股份有限公司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量子点显示专利布局</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2114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珠海蓉胜超微线材有限公司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智能通讯终端用微细漆包线研发及应用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3137</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珠海市一微半导体有限公司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基于ESLAM技术的智能清洁机器人专用主控芯片</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7214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东莞市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东莞铭普光磁股份有限公司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新一代信息5G技术光模块通信器件</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8032</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东莞市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楚天龙股份有限公司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楚天龙NFC智能卡技术专利培育布局项目</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8521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深圳市汉森软件有限公司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高速高精度工业喷墨打印控制系统</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8892</w:t>
            </w:r>
          </w:p>
        </w:tc>
        <w:tc>
          <w:tcPr>
            <w:tcW w:w="990"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惠州市</w:t>
            </w:r>
          </w:p>
        </w:tc>
        <w:tc>
          <w:tcPr>
            <w:tcW w:w="2268"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惠州市金百泽电路科技有限公司</w:t>
            </w:r>
          </w:p>
        </w:tc>
        <w:tc>
          <w:tcPr>
            <w:tcW w:w="3578"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高端特色电子产品用高质量高精度电路板研制项目</w:t>
            </w:r>
          </w:p>
        </w:tc>
        <w:tc>
          <w:tcPr>
            <w:tcW w:w="1242"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新一代信息技术</w:t>
            </w:r>
          </w:p>
        </w:tc>
        <w:tc>
          <w:tcPr>
            <w:tcW w:w="1275"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1063</w:t>
            </w:r>
          </w:p>
        </w:tc>
        <w:tc>
          <w:tcPr>
            <w:tcW w:w="990"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广东工业大学</w:t>
            </w:r>
          </w:p>
        </w:tc>
        <w:tc>
          <w:tcPr>
            <w:tcW w:w="3578"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光电晶片集群磁流变超光滑平坦化加工技术</w:t>
            </w:r>
          </w:p>
        </w:tc>
        <w:tc>
          <w:tcPr>
            <w:tcW w:w="1242"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848" w:type="dxa"/>
            <w:tcBorders>
              <w:top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1110</w:t>
            </w:r>
          </w:p>
        </w:tc>
        <w:tc>
          <w:tcPr>
            <w:tcW w:w="990" w:type="dxa"/>
            <w:tcBorders>
              <w:top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tcBorders>
              <w:top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广东工业大学（广州市越秀区）</w:t>
            </w:r>
          </w:p>
        </w:tc>
        <w:tc>
          <w:tcPr>
            <w:tcW w:w="3578" w:type="dxa"/>
            <w:tcBorders>
              <w:top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面向超精密制造装备的长行程纳米定位平台专利池</w:t>
            </w:r>
          </w:p>
        </w:tc>
        <w:tc>
          <w:tcPr>
            <w:tcW w:w="1242" w:type="dxa"/>
            <w:tcBorders>
              <w:top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tcBorders>
              <w:top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4853</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中科开创（广州）智能科技发展有限公司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架空线路驻塔巡检机器人</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5021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华南理工大学</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复杂工况水下机器人焊接增材制造关键技术</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5345</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其他</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北京清影机器视觉技术有限公司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三维矩阵相机</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6171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其他</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北京星际荣耀空间科技有限公司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液氧甲烷发动机</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6681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佛山威</w:t>
            </w:r>
            <w:r>
              <w:rPr>
                <w:rFonts w:hint="eastAsia" w:ascii="宋体" w:hAnsi="宋体" w:eastAsia="宋体" w:cs="微软雅黑"/>
                <w:sz w:val="24"/>
                <w:szCs w:val="24"/>
              </w:rPr>
              <w:t>崯</w:t>
            </w:r>
            <w:r>
              <w:rPr>
                <w:rFonts w:hint="eastAsia" w:ascii="仿宋_GB2312" w:hAnsi="宋体" w:eastAsia="仿宋_GB2312" w:cs="仿宋_GB2312"/>
                <w:sz w:val="24"/>
                <w:szCs w:val="24"/>
              </w:rPr>
              <w:t>逊智能装备有限公司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人造肠衣的套缩及封尾设备</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6748</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其他</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北京博清科技有限公司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无轨导全位置爬行焊接机器人</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7262</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广州广华智电科技有限公司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电力设备金属大气腐蚀监测评估装置及产业化应用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7642</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佛山科学技术学院</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陶瓷自动化生产线高价值专利培育布局</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7825</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广东原点智能技术有限公司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高速高精密五轴联动加工中心机床</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1275</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深圳市裕展精密科技有限公司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智能精密打磨抛光机器人</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1744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其他</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北京京东尚科信息技术有限公司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无人配送站</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4179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佛山柯维光电股份有限公司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高效紫外空气消毒净化技术</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4198</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广东何氏协力机械制造股份有限公司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单点悬挂装置创新技术研发和产业化建设</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4379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广东泰格威机器人科技有限公司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多脉冲热量可控激光专家数据库开发及应用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7449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阳江市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阳江市天骄家庭用品制造有限公司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一种在不锈钢上电镀珍珠镍的镀液及其电镀方法</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7853</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深圳市恒翼能科技有限公司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一种锂电池自动分选的方法、存储介质及电池分选装置</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8251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东莞市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东莞市慕思寝室用品有限公司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一种智能健康睡眠床垫</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8533</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东莞市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东莞市图创智能制造有限公司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基于UV数码打印机的实现光油固化、立体浮雕及烫金一体化技术</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8927</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广州地铁设计研究院股份有限公司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浮置板轨道隔振器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高端装备制造</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1781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广州赛佛科技有限公司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“仿生肺”大气（空气）净化及其风力发电装置</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3171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东莞市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东莞理工学院</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利用聚3-羟基丁酸酯制备丁酸及其衍生物的新型环保技术及专利布局</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3304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澳门</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珠海富昌科技有限公司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马桶自洁器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4258</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佛山职业技术学院</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电力智能产品开发与应用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5746</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其他</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仉贵勇</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电动车及电动汽车太阳能充电装置</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5817</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广州雷利诺车业有限公司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大功率长续航新能源警用摩托车</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7879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东莞市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广东杰美科技有限公司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杰美食物垃圾处理器技术专利培育布局项目</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3091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中国南方电网有限责任公司电网技术研究中心</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一种柔性直流输电中控制保护装置的测试方法及系统</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3482</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广东佳德环保科技有限公司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J-TECH Ⅱ 臭氧氧化协同吸收脱硫脱硝关键技术</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3657</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广东新</w:t>
            </w:r>
            <w:r>
              <w:rPr>
                <w:rFonts w:hint="eastAsia" w:ascii="微软雅黑" w:hAnsi="微软雅黑" w:eastAsia="微软雅黑" w:cs="微软雅黑"/>
                <w:sz w:val="24"/>
                <w:szCs w:val="24"/>
              </w:rPr>
              <w:t>昇</w:t>
            </w:r>
            <w:r>
              <w:rPr>
                <w:rFonts w:hint="eastAsia" w:ascii="仿宋_GB2312" w:hAnsi="宋体" w:eastAsia="仿宋_GB2312" w:cs="仿宋_GB2312"/>
                <w:sz w:val="24"/>
                <w:szCs w:val="24"/>
              </w:rPr>
              <w:t>电业科技股份有限公司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太阳能、风能逆变变压器研发及应用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4874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珠海格力节能环保制冷技术研究中心有限公司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应用于家用多联机的大小容积切换压缩机</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5019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珠海格力电器股份有限公司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可变气流循环立体送风中央空调</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5376</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赫兹曼电力（广东）有限公司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配电网全替代六氟化硫气体的常压密封空气绝缘环保开关成套设备</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tcPr>
          <w:p>
            <w:pPr>
              <w:jc w:val="center"/>
              <w:rPr>
                <w:rFonts w:ascii="仿宋_GB2312" w:hAnsi="宋体" w:eastAsia="仿宋_GB2312"/>
                <w:sz w:val="24"/>
                <w:szCs w:val="24"/>
              </w:rPr>
            </w:pPr>
            <w:r>
              <w:rPr>
                <w:rFonts w:hint="eastAsia" w:ascii="仿宋_GB2312" w:hAnsi="宋体" w:eastAsia="仿宋_GB2312"/>
                <w:sz w:val="24"/>
                <w:szCs w:val="24"/>
              </w:rPr>
              <w:t>5542</w:t>
            </w:r>
          </w:p>
        </w:tc>
        <w:tc>
          <w:tcPr>
            <w:tcW w:w="990" w:type="dxa"/>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tcPr>
          <w:p>
            <w:pPr>
              <w:jc w:val="center"/>
              <w:rPr>
                <w:rFonts w:ascii="仿宋_GB2312" w:hAnsi="宋体" w:eastAsia="仿宋_GB2312"/>
                <w:sz w:val="24"/>
                <w:szCs w:val="24"/>
              </w:rPr>
            </w:pPr>
            <w:r>
              <w:rPr>
                <w:rFonts w:hint="eastAsia" w:ascii="仿宋_GB2312" w:hAnsi="宋体" w:eastAsia="仿宋_GB2312"/>
                <w:sz w:val="24"/>
                <w:szCs w:val="24"/>
              </w:rPr>
              <w:t>深圳市冠科科技有限公司</w:t>
            </w:r>
          </w:p>
        </w:tc>
        <w:tc>
          <w:tcPr>
            <w:tcW w:w="3578" w:type="dxa"/>
          </w:tcPr>
          <w:p>
            <w:pPr>
              <w:jc w:val="center"/>
              <w:rPr>
                <w:rFonts w:ascii="仿宋_GB2312" w:hAnsi="宋体" w:eastAsia="仿宋_GB2312"/>
                <w:sz w:val="24"/>
                <w:szCs w:val="24"/>
              </w:rPr>
            </w:pPr>
            <w:r>
              <w:rPr>
                <w:rFonts w:hint="eastAsia" w:ascii="仿宋_GB2312" w:hAnsi="宋体" w:eastAsia="仿宋_GB2312"/>
                <w:sz w:val="24"/>
                <w:szCs w:val="24"/>
              </w:rPr>
              <w:t>蝙蝠侠玉米灯（S35）</w:t>
            </w:r>
          </w:p>
        </w:tc>
        <w:tc>
          <w:tcPr>
            <w:tcW w:w="1242" w:type="dxa"/>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7104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珠海格力电器股份有限公司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高效永磁同步螺杆式冷水机组开发</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tcPr>
          <w:p>
            <w:pPr>
              <w:jc w:val="center"/>
              <w:rPr>
                <w:rFonts w:ascii="仿宋_GB2312" w:hAnsi="宋体" w:eastAsia="仿宋_GB2312"/>
                <w:sz w:val="24"/>
                <w:szCs w:val="24"/>
              </w:rPr>
            </w:pPr>
            <w:r>
              <w:rPr>
                <w:rFonts w:hint="eastAsia" w:ascii="仿宋_GB2312" w:hAnsi="宋体" w:eastAsia="仿宋_GB2312"/>
                <w:sz w:val="24"/>
                <w:szCs w:val="24"/>
              </w:rPr>
              <w:t>8189</w:t>
            </w:r>
          </w:p>
        </w:tc>
        <w:tc>
          <w:tcPr>
            <w:tcW w:w="990" w:type="dxa"/>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tcPr>
          <w:p>
            <w:pPr>
              <w:jc w:val="center"/>
              <w:rPr>
                <w:rFonts w:ascii="仿宋_GB2312" w:hAnsi="宋体" w:eastAsia="仿宋_GB2312"/>
                <w:sz w:val="24"/>
                <w:szCs w:val="24"/>
              </w:rPr>
            </w:pPr>
            <w:r>
              <w:rPr>
                <w:rFonts w:hint="eastAsia" w:ascii="仿宋_GB2312" w:hAnsi="宋体" w:eastAsia="仿宋_GB2312"/>
                <w:sz w:val="24"/>
                <w:szCs w:val="24"/>
              </w:rPr>
              <w:t>南方电网科学研究院有限责任公司</w:t>
            </w:r>
          </w:p>
        </w:tc>
        <w:tc>
          <w:tcPr>
            <w:tcW w:w="3578" w:type="dxa"/>
          </w:tcPr>
          <w:p>
            <w:pPr>
              <w:jc w:val="center"/>
              <w:rPr>
                <w:rFonts w:ascii="仿宋_GB2312" w:hAnsi="宋体" w:eastAsia="仿宋_GB2312"/>
                <w:sz w:val="24"/>
                <w:szCs w:val="24"/>
              </w:rPr>
            </w:pPr>
            <w:r>
              <w:rPr>
                <w:rFonts w:hint="eastAsia" w:ascii="仿宋_GB2312" w:hAnsi="宋体" w:eastAsia="仿宋_GB2312"/>
                <w:sz w:val="24"/>
                <w:szCs w:val="24"/>
              </w:rPr>
              <w:t>交直流大电网静态电压安全分析计算软件的研发及应用</w:t>
            </w:r>
          </w:p>
        </w:tc>
        <w:tc>
          <w:tcPr>
            <w:tcW w:w="1242" w:type="dxa"/>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9047</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中建科工集团有限公司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海洋人居系统及其建造方法</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绿色低碳</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1749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香港</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香港浸会大学</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多糖标志物在铁皮石斛鉴定中的应用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1945</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清远市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卧椅行（清远）医疗装备技术有限公司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卧椅行担架车</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3123</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珠海米迪泰克生物制药有限公司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抗肝癌中药散结片的产业化</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5549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中山大学</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名优中药猴耳环抗耐药细菌的研究、应用及专利布局</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6610</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深圳常元生物医学技术有限公司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防治阿尔茨海默病生物创新药CYPAD01创制及产业化</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7229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深圳市立心科学有限公司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基于运动医学的可吸收骨科高值耗材研发及产业化</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7436</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深圳铭杰医疗科技有限公司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电子束近距离放疗系统</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8214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香港</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细胞图谱有限公司（Cytomics Limited)</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单细胞类型的基因表达水平的测定(CN103764848B ,US9589099B2)</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8216</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澳门</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澳门大学</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基于自噬调控的的抗肿瘤新药开发</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8628</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香港</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醣深科技</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新型抗糖尿病药物之研发平台</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8645</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梅州市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梅州市华师昆虫发育生物学与应用技术重点实验室广梅园研发中心</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利用美洲大蠊实现餐厨垃圾无害化处理的关键技术及专利布局</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9024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澳门</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陈修平</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中药成分防治溃疡性结肠炎</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1203</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肇庆市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广东肇庆星湖生物科技股份有限公司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一种磷酸转移酶基因PhoC(I)及其制备方法与应用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1496</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广州白云山医药集团股份有限公司白云山制药总厂</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抗感染大品种头孢菌素的创制及产业化</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1561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河源市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广东立国制药有限公司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一种去氨甲酰基头孢呋辛的制备方法</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3145</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东莞市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广东东阳光药业有限公司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抗丙肝1类新药磷酸依米他韦</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4176</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丽珠医药集团股份有限公司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注射用艾普拉唑钠专利布局</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4917</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潮州市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广东凯普生物科技股份有限公司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基于导流杂交平台系列分子诊断产品布局</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生物医药</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3891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义语智能科技（广州）有限公司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DeepBrain云大脑</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数字经济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6234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广东驿亭信息科技有限公司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无感支付快速收费SAAS系统</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数字经济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6246</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其他</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北京可以科技有限公司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模块化教育机器人</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数字经济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6524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其他</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北京和信创天科技股份有限公司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和信下一代云桌面</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数字经济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9030</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深圳蓝胖子机器人有限公司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智能装箱规划系统</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数字经济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8034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深圳壹账通智能科技有限公司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FiMAX区块链技术平台高价值专利布局培育</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数字经济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8746</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深圳壹账通智能科技有限公司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情绪（微表情）识别技术高价值专利布局培育</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数字经济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8869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珠海大横琴科技发展有限公司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跨域多维电子围网关键技术及应用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数字经济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8974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深圳云天励飞技术有限公司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动态人像识别系统</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数字经济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1387</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江门市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广东桑海环保有限公司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新一代水处理剂在水处理行业的应用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3060</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华南农业大学</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可再生生物质基复合材料的开发及应用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3213</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华南农业大学</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生物基紫外光固化材料专利培育布局项目</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5130</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华南理工大学</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耐磨钢系列</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1014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汕尾市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汕尾市索思电子封装材料有限公司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金锡合金焊料的热加工与成型工艺</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1083</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梅州市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广东富远稀土新材料股份有限公司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高纯激光级重稀土（铥、镱、镥）氧化物分离技术</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hAnsi="宋体" w:eastAsia="仿宋_GB2312"/>
                <w:sz w:val="24"/>
                <w:szCs w:val="24"/>
              </w:rPr>
            </w:pPr>
            <w:r>
              <w:rPr>
                <w:rFonts w:hint="eastAsia" w:ascii="仿宋_GB2312" w:hAnsi="宋体" w:eastAsia="仿宋_GB2312"/>
                <w:sz w:val="24"/>
                <w:szCs w:val="24"/>
              </w:rPr>
              <w:t>1759</w:t>
            </w:r>
          </w:p>
        </w:tc>
        <w:tc>
          <w:tcPr>
            <w:tcW w:w="99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sz w:val="24"/>
                <w:szCs w:val="24"/>
              </w:rPr>
            </w:pPr>
            <w:r>
              <w:rPr>
                <w:rFonts w:hint="eastAsia" w:ascii="仿宋_GB2312" w:hAnsi="宋体" w:eastAsia="仿宋_GB2312"/>
                <w:sz w:val="24"/>
                <w:szCs w:val="24"/>
              </w:rPr>
              <w:t>汕头市</w:t>
            </w:r>
          </w:p>
        </w:tc>
        <w:tc>
          <w:tcPr>
            <w:tcW w:w="2268"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sz w:val="24"/>
                <w:szCs w:val="24"/>
              </w:rPr>
            </w:pPr>
            <w:r>
              <w:rPr>
                <w:rFonts w:hint="eastAsia" w:ascii="仿宋_GB2312" w:hAnsi="宋体" w:eastAsia="仿宋_GB2312"/>
                <w:sz w:val="24"/>
                <w:szCs w:val="24"/>
              </w:rPr>
              <w:t>汕头市骏码凯撒有限公司</w:t>
            </w:r>
          </w:p>
        </w:tc>
        <w:tc>
          <w:tcPr>
            <w:tcW w:w="3578"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sz w:val="24"/>
                <w:szCs w:val="24"/>
              </w:rPr>
            </w:pPr>
            <w:r>
              <w:rPr>
                <w:rFonts w:hint="eastAsia" w:ascii="仿宋_GB2312" w:hAnsi="宋体" w:eastAsia="仿宋_GB2312"/>
                <w:sz w:val="24"/>
                <w:szCs w:val="24"/>
              </w:rPr>
              <w:t>哑光型全彩LED户外环氧树脂封装材料的研发</w:t>
            </w:r>
          </w:p>
        </w:tc>
        <w:tc>
          <w:tcPr>
            <w:tcW w:w="1242"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3006</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深圳有为技术控股集团有限公司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395nm环保水性LED光固化涂装</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3032</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广州立白企业集团有限公司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绿色洗涤剂的研究开发</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3609</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中山市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洋紫荆油墨（中山）有限公司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ENVOMARS环保之星通用型复合墨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4284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其他</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广西贺州市桂东电子科技有限责任公司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超高压铝电解电容器用电极箔产品专利布局</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5451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江门市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广东筑龙涂料有限公司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隔热防火仿石涂料关键技术研究及开发利用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7204</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揭阳市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广东蒙泰高新纤维股份有限公司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基于海岛结构的复合纤维的锂离子电池技术开发</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新材料</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3810</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湛江市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广东海洋大学</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半潜滚轮式海洋能发电创新技术及装备</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海洋经济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4357</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其他</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西安水泽动力科技有限公司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创新推动水下机器人</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海洋经济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8381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佛山市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广东精铟海洋工程股份有限公司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海洋工程平台连续升降系统</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海洋经济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8808</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中国南方电网有限责任公司电网技术研究中心</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高压直流电缆负荷循环试验绝缘温度梯度控制方法及系统</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海洋经济</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3351</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其他</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王天尊</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农业集群化机器人开发及机器人数据应用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现代农业</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初创型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1155</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云浮市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罗定市原始蛋鸡养殖有限公司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中药技术在无公害蛋鸡养殖中的应用</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现代农业</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48" w:type="dxa"/>
            <w:vAlign w:val="center"/>
          </w:tcPr>
          <w:p>
            <w:pPr>
              <w:jc w:val="center"/>
              <w:rPr>
                <w:rFonts w:ascii="仿宋_GB2312" w:hAnsi="宋体" w:eastAsia="仿宋_GB2312"/>
                <w:sz w:val="24"/>
                <w:szCs w:val="24"/>
              </w:rPr>
            </w:pPr>
            <w:r>
              <w:rPr>
                <w:rFonts w:hint="eastAsia" w:ascii="仿宋_GB2312" w:hAnsi="宋体" w:eastAsia="仿宋_GB2312"/>
                <w:sz w:val="24"/>
                <w:szCs w:val="24"/>
              </w:rPr>
              <w:t>4212</w:t>
            </w:r>
          </w:p>
        </w:tc>
        <w:tc>
          <w:tcPr>
            <w:tcW w:w="99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广州市</w:t>
            </w:r>
          </w:p>
        </w:tc>
        <w:tc>
          <w:tcPr>
            <w:tcW w:w="2268" w:type="dxa"/>
            <w:vAlign w:val="center"/>
          </w:tcPr>
          <w:p>
            <w:pPr>
              <w:jc w:val="center"/>
              <w:rPr>
                <w:rFonts w:ascii="仿宋_GB2312" w:hAnsi="宋体" w:eastAsia="仿宋_GB2312"/>
                <w:sz w:val="24"/>
                <w:szCs w:val="24"/>
              </w:rPr>
            </w:pPr>
            <w:r>
              <w:rPr>
                <w:rFonts w:hint="eastAsia" w:ascii="仿宋_GB2312" w:hAnsi="宋体" w:eastAsia="仿宋_GB2312"/>
                <w:sz w:val="24"/>
                <w:szCs w:val="24"/>
              </w:rPr>
              <w:t>广东拉多美化肥有限公司</w:t>
            </w:r>
          </w:p>
        </w:tc>
        <w:tc>
          <w:tcPr>
            <w:tcW w:w="3578" w:type="dxa"/>
            <w:vAlign w:val="center"/>
          </w:tcPr>
          <w:p>
            <w:pPr>
              <w:jc w:val="center"/>
              <w:rPr>
                <w:rFonts w:ascii="仿宋_GB2312" w:hAnsi="宋体" w:eastAsia="仿宋_GB2312"/>
                <w:sz w:val="24"/>
                <w:szCs w:val="24"/>
              </w:rPr>
            </w:pPr>
            <w:r>
              <w:rPr>
                <w:rFonts w:hint="eastAsia" w:ascii="仿宋_GB2312" w:hAnsi="宋体" w:eastAsia="仿宋_GB2312"/>
                <w:sz w:val="24"/>
                <w:szCs w:val="24"/>
              </w:rPr>
              <w:t>高塔腐植酸钾型控缓释生态复合肥</w:t>
            </w:r>
          </w:p>
        </w:tc>
        <w:tc>
          <w:tcPr>
            <w:tcW w:w="124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现代农业</w:t>
            </w:r>
          </w:p>
        </w:tc>
        <w:tc>
          <w:tcPr>
            <w:tcW w:w="127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成长型</w:t>
            </w:r>
          </w:p>
        </w:tc>
      </w:tr>
    </w:tbl>
    <w:p>
      <w:pPr>
        <w:rPr>
          <w:rFonts w:ascii="仿宋_GB2312" w:eastAsia="仿宋_GB2312"/>
          <w:sz w:val="32"/>
          <w:szCs w:val="32"/>
          <w:highlight w:val="yello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E51BB"/>
    <w:rsid w:val="027E51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2020-05-18T11:18:00Z</dcterms:created>
  <dc:creator>刘晓丽</dc:creator>
  <cp:lastModifiedBy>刘晓丽</cp:lastModifiedBy>
  <dcterms:modified xsi:type="dcterms:W3CDTF">2020-05-18T11:18:31Z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