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817E6">
      <w:pPr>
        <w:spacing w:after="0" w:line="590" w:lineRule="exact"/>
        <w:jc w:val="both"/>
        <w:rPr>
          <w:rFonts w:ascii="黑体" w:hAnsi="黑体" w:eastAsia="黑体"/>
          <w:sz w:val="32"/>
          <w:szCs w:val="32"/>
        </w:rPr>
      </w:pPr>
      <w:r>
        <w:rPr>
          <w:rFonts w:hint="eastAsia" w:ascii="黑体" w:hAnsi="黑体" w:eastAsia="黑体"/>
          <w:sz w:val="32"/>
          <w:szCs w:val="32"/>
        </w:rPr>
        <w:t>附件2</w:t>
      </w:r>
    </w:p>
    <w:p w14:paraId="4BBDA225">
      <w:pPr>
        <w:spacing w:after="0" w:line="590" w:lineRule="exact"/>
        <w:jc w:val="both"/>
        <w:rPr>
          <w:rFonts w:hint="eastAsia" w:ascii="仿宋_GB2312" w:eastAsia="仿宋_GB2312"/>
          <w:sz w:val="32"/>
          <w:szCs w:val="32"/>
        </w:rPr>
      </w:pPr>
    </w:p>
    <w:p w14:paraId="1FAD03CF">
      <w:pPr>
        <w:spacing w:after="0"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关于《广东省推动现代化海洋牧场建设</w:t>
      </w:r>
    </w:p>
    <w:p w14:paraId="11445A71">
      <w:pPr>
        <w:spacing w:after="0" w:line="590" w:lineRule="exact"/>
        <w:jc w:val="center"/>
        <w:rPr>
          <w:rFonts w:hint="eastAsia" w:ascii="方正小标宋简体" w:eastAsia="方正小标宋简体"/>
          <w:sz w:val="44"/>
          <w:szCs w:val="44"/>
        </w:rPr>
      </w:pPr>
      <w:r>
        <w:rPr>
          <w:rFonts w:hint="eastAsia" w:ascii="方正小标宋简体" w:eastAsia="方正小标宋简体"/>
          <w:sz w:val="44"/>
          <w:szCs w:val="44"/>
        </w:rPr>
        <w:t>实施方案</w:t>
      </w:r>
      <w:r>
        <w:rPr>
          <w:rFonts w:hint="eastAsia" w:ascii="方正小标宋简体" w:eastAsia="方正小标宋简体"/>
          <w:sz w:val="44"/>
          <w:szCs w:val="44"/>
          <w:lang w:eastAsia="zh-CN"/>
        </w:rPr>
        <w:t>（</w:t>
      </w:r>
      <w:r>
        <w:rPr>
          <w:rFonts w:hint="eastAsia" w:ascii="方正小标宋简体" w:eastAsia="方正小标宋简体"/>
          <w:sz w:val="44"/>
          <w:szCs w:val="44"/>
        </w:rPr>
        <w:t>2025-2027</w:t>
      </w:r>
      <w:r>
        <w:rPr>
          <w:rFonts w:hint="eastAsia" w:ascii="方正小标宋简体" w:eastAsia="方正小标宋简体"/>
          <w:sz w:val="44"/>
          <w:szCs w:val="44"/>
          <w:lang w:eastAsia="zh-CN"/>
        </w:rPr>
        <w:t>）</w:t>
      </w:r>
      <w:r>
        <w:rPr>
          <w:rFonts w:hint="eastAsia" w:ascii="方正小标宋简体" w:eastAsia="方正小标宋简体"/>
          <w:sz w:val="44"/>
          <w:szCs w:val="44"/>
        </w:rPr>
        <w:t>》起草说明</w:t>
      </w:r>
    </w:p>
    <w:p w14:paraId="723086AC">
      <w:pPr>
        <w:spacing w:after="0" w:line="590" w:lineRule="exact"/>
        <w:jc w:val="both"/>
        <w:rPr>
          <w:rFonts w:hint="eastAsia" w:ascii="仿宋_GB2312" w:eastAsia="仿宋_GB2312"/>
          <w:sz w:val="32"/>
          <w:szCs w:val="32"/>
        </w:rPr>
      </w:pPr>
    </w:p>
    <w:p w14:paraId="560B1158">
      <w:pPr>
        <w:spacing w:after="0" w:line="590" w:lineRule="exact"/>
        <w:ind w:firstLine="640" w:firstLineChars="200"/>
        <w:jc w:val="both"/>
        <w:rPr>
          <w:rFonts w:hint="eastAsia" w:ascii="黑体" w:hAnsi="黑体" w:eastAsia="黑体"/>
          <w:sz w:val="32"/>
          <w:szCs w:val="32"/>
        </w:rPr>
      </w:pPr>
      <w:r>
        <w:rPr>
          <w:rFonts w:hint="eastAsia" w:ascii="黑体" w:hAnsi="黑体" w:eastAsia="黑体"/>
          <w:sz w:val="32"/>
          <w:szCs w:val="32"/>
        </w:rPr>
        <w:t>一、制定的必要性</w:t>
      </w:r>
    </w:p>
    <w:p w14:paraId="73731EAB">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近年来，我省现代化海洋牧场建设持续加快，已初步形成以深远海养殖为核心、以种业、装备、养殖、加工等全产业链协同发展的格局。但当前仍存在近岸海域生态环境压力较大、深远海养殖规模不足、重大装备研发与应用水平有待提升、金融与保险支持体系不健全、产业链融合度不高等问题。为贯彻落实省委“1310”</w:t>
      </w:r>
      <w:r>
        <w:rPr>
          <w:rFonts w:hint="eastAsia" w:ascii="仿宋_GB2312" w:eastAsia="仿宋_GB2312"/>
          <w:sz w:val="32"/>
          <w:szCs w:val="32"/>
          <w:lang w:eastAsia="zh-CN"/>
        </w:rPr>
        <w:t>具体</w:t>
      </w:r>
      <w:r>
        <w:rPr>
          <w:rFonts w:hint="eastAsia" w:ascii="仿宋_GB2312" w:eastAsia="仿宋_GB2312"/>
          <w:sz w:val="32"/>
          <w:szCs w:val="32"/>
        </w:rPr>
        <w:t>部署和“百千万工程”</w:t>
      </w:r>
      <w:r>
        <w:rPr>
          <w:rFonts w:hint="eastAsia" w:ascii="仿宋_GB2312" w:eastAsia="仿宋_GB2312"/>
          <w:sz w:val="32"/>
          <w:szCs w:val="32"/>
          <w:lang w:eastAsia="zh-CN"/>
        </w:rPr>
        <w:t>工作安排</w:t>
      </w:r>
      <w:r>
        <w:rPr>
          <w:rFonts w:hint="eastAsia" w:ascii="仿宋_GB2312" w:eastAsia="仿宋_GB2312"/>
          <w:sz w:val="32"/>
          <w:szCs w:val="32"/>
        </w:rPr>
        <w:t>，亟需通过出台系统性、阶段性实施方案，明确未来三年重点任务和发展路径，统筹推进现代化海洋牧场建设，为建设海洋强省、打造万亿级海洋渔业产业集群提供制度支撑和行动指南。</w:t>
      </w:r>
    </w:p>
    <w:p w14:paraId="693B30CA">
      <w:pPr>
        <w:spacing w:after="0" w:line="590" w:lineRule="exact"/>
        <w:ind w:firstLine="640" w:firstLineChars="200"/>
        <w:jc w:val="both"/>
        <w:rPr>
          <w:rFonts w:hint="eastAsia" w:ascii="黑体" w:hAnsi="黑体" w:eastAsia="黑体"/>
          <w:sz w:val="32"/>
          <w:szCs w:val="32"/>
        </w:rPr>
      </w:pPr>
      <w:r>
        <w:rPr>
          <w:rFonts w:hint="eastAsia" w:ascii="黑体" w:hAnsi="黑体" w:eastAsia="黑体"/>
          <w:sz w:val="32"/>
          <w:szCs w:val="32"/>
        </w:rPr>
        <w:t>二、制定依据</w:t>
      </w:r>
    </w:p>
    <w:p w14:paraId="6A706AAD">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1.《广东省现代化海洋牧场发展总体规划（2024</w:t>
      </w:r>
      <w:r>
        <w:rPr>
          <w:rFonts w:hint="eastAsia" w:ascii="仿宋_GB2312" w:eastAsia="仿宋_GB2312"/>
          <w:sz w:val="32"/>
          <w:szCs w:val="32"/>
          <w:lang w:val="en-US" w:eastAsia="zh-CN"/>
        </w:rPr>
        <w:t>-</w:t>
      </w:r>
      <w:r>
        <w:rPr>
          <w:rFonts w:hint="eastAsia" w:ascii="仿宋_GB2312" w:eastAsia="仿宋_GB2312"/>
          <w:sz w:val="32"/>
          <w:szCs w:val="32"/>
        </w:rPr>
        <w:t>2035年）》</w:t>
      </w:r>
      <w:r>
        <w:rPr>
          <w:rFonts w:hint="eastAsia" w:ascii="仿宋_GB2312" w:eastAsia="仿宋_GB2312"/>
          <w:sz w:val="32"/>
          <w:szCs w:val="32"/>
          <w:lang w:eastAsia="zh-CN"/>
        </w:rPr>
        <w:t>（</w:t>
      </w:r>
      <w:r>
        <w:rPr>
          <w:rFonts w:hint="eastAsia" w:ascii="仿宋_GB2312" w:eastAsia="仿宋_GB2312"/>
          <w:sz w:val="32"/>
          <w:szCs w:val="32"/>
        </w:rPr>
        <w:t>粤府函〔2024〕237号</w:t>
      </w:r>
      <w:r>
        <w:rPr>
          <w:rFonts w:hint="eastAsia" w:ascii="仿宋_GB2312" w:eastAsia="仿宋_GB2312"/>
          <w:sz w:val="32"/>
          <w:szCs w:val="32"/>
          <w:lang w:eastAsia="zh-CN"/>
        </w:rPr>
        <w:t>）</w:t>
      </w:r>
      <w:r>
        <w:rPr>
          <w:rFonts w:hint="eastAsia" w:ascii="仿宋_GB2312" w:eastAsia="仿宋_GB2312"/>
          <w:sz w:val="32"/>
          <w:szCs w:val="32"/>
        </w:rPr>
        <w:t>作为总体性顶层设计文件，明确了我省现代化海洋牧场建设的战略目标和路径。</w:t>
      </w:r>
    </w:p>
    <w:p w14:paraId="79E676D0">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2.《广东省现代化海洋牧场“疏近用远、生态发展”试点建设方案》（粤农农〔2024〕205号），为我省近海养殖转型升级和深远海养殖拓展提供了政策基础和实践指引。</w:t>
      </w:r>
    </w:p>
    <w:p w14:paraId="68C0B9EB">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3.《关于开展国家级沿海渔港经济区建设试点的通知》（农办渔〔2023〕8号），为我省推动渔港经济区建设、提升港产城融合水平提供了政策依据。</w:t>
      </w:r>
    </w:p>
    <w:p w14:paraId="21E76D83">
      <w:pPr>
        <w:spacing w:after="0" w:line="590" w:lineRule="exact"/>
        <w:ind w:firstLine="640" w:firstLineChars="200"/>
        <w:jc w:val="both"/>
        <w:rPr>
          <w:rFonts w:hint="eastAsia" w:ascii="黑体" w:hAnsi="黑体" w:eastAsia="黑体"/>
          <w:sz w:val="32"/>
          <w:szCs w:val="32"/>
        </w:rPr>
      </w:pPr>
      <w:r>
        <w:rPr>
          <w:rFonts w:hint="eastAsia" w:ascii="黑体" w:hAnsi="黑体" w:eastAsia="黑体"/>
          <w:sz w:val="32"/>
          <w:szCs w:val="32"/>
        </w:rPr>
        <w:t>三、主要内容</w:t>
      </w:r>
    </w:p>
    <w:p w14:paraId="5BD9F14B">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《实施方案》紧扣我省现代化海洋牧场建设的战略目标，围绕全产业链高质量发展，系统部署了2025</w:t>
      </w:r>
      <w:r>
        <w:rPr>
          <w:rFonts w:hint="eastAsia" w:ascii="仿宋_GB2312" w:eastAsia="仿宋_GB2312"/>
          <w:sz w:val="32"/>
          <w:szCs w:val="32"/>
          <w:lang w:val="en-US" w:eastAsia="zh-CN"/>
        </w:rPr>
        <w:t>-</w:t>
      </w:r>
      <w:r>
        <w:rPr>
          <w:rFonts w:hint="eastAsia" w:ascii="仿宋_GB2312" w:eastAsia="仿宋_GB2312"/>
          <w:sz w:val="32"/>
          <w:szCs w:val="32"/>
        </w:rPr>
        <w:t>2027年九个方面的重点任务：</w:t>
      </w:r>
    </w:p>
    <w:p w14:paraId="0F40DBE9">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（一）健全顶层设计与政策支撑</w:t>
      </w:r>
    </w:p>
    <w:p w14:paraId="2A220EAB">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提出加快构建“四梁八柱”政策体系，探索制定《广东省现代化海洋牧场管理条例》。优化海域使用金减免政策，扩大适用范围至重力式网箱、桁架类平台等装备；完善政策性保险条款，力争到2027年海水养殖保险覆盖率达到40%；出台“风渔融合”建设指引，推动风电与养殖空间布局一体化；研究“飞海飞地”合作模式，促进珠三角与粤东粤西资源互补。</w:t>
      </w:r>
    </w:p>
    <w:p w14:paraId="3A84B6D3">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（二）加强渔港与渔港经济区建设</w:t>
      </w:r>
    </w:p>
    <w:p w14:paraId="5598C20A">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明确到2027年完成全省渔港等级认定，完善港章制度，推进标准化、数字化管理。推进5个国家级渔港经济区建设，加快6个省级渔港经济区开工，推动渔港与自然保护地协调发展，解决历史遗留问题，形成“港产城融合、渔工贸一体”的经济区发展格局。</w:t>
      </w:r>
    </w:p>
    <w:p w14:paraId="697D69A3">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（三）推动“疏近用远、生态发展”</w:t>
      </w:r>
    </w:p>
    <w:p w14:paraId="23527A1B">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落实近海“做减法”、深远海“做加法”的要求，开展“木改塑”行动，逐步淘汰木质渔排，推广环保网箱，改善近岸环境。推动近海养殖向贝、藻碳汇渔业转型，探索保护区实验区碳汇渔业合法化，形成生态修复与产业发展双赢模式。</w:t>
      </w:r>
    </w:p>
    <w:p w14:paraId="579C8C81">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（四）推进深远海养殖装备研发与应用</w:t>
      </w:r>
    </w:p>
    <w:p w14:paraId="23BD1875">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重点突破抗风浪重力式网箱技术，加快可沉降网箱和桁架式平台研发。提出构建“1+N”布局模式，以重力式网箱为核心养殖单元，桁架式网箱或综合平台为运维支撑，实现智能化投饵、水质调控、水下洗网、智能运输等配套功能全覆盖，打造高性价比的深远海养殖体系。</w:t>
      </w:r>
    </w:p>
    <w:p w14:paraId="530894D5">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（五）增强“深蓝种业”核心竞争力</w:t>
      </w:r>
    </w:p>
    <w:p w14:paraId="441BD6EE">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建立海洋水产种质资源档案，推动共享利用。支持金鲳鱼、石斑鱼、海鲈鱼等优势品种新品种选育，鼓励企业主导组建育种联合体，推动“育繁推一体化”。到2027年，全省累计建成40个以上省级及以上原良种场，国审新品种达到20个。</w:t>
      </w:r>
    </w:p>
    <w:p w14:paraId="2AB6DF02">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（六）提升养殖技术和产品质量</w:t>
      </w:r>
    </w:p>
    <w:p w14:paraId="2E8179D7">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加强病害综合防控，建立重点病害数据库和风险预警模型，完善远程辅助诊断体系。推动金鲳鱼、石斑鱼、花鲈等主力品种专用配合饲料研发和替代鲜杂鱼行动。推广智能化精准投喂，推动“鱼-贝-藻”立体养殖和“陆海接力”模式，提高鱼类品质和养殖效益。</w:t>
      </w:r>
    </w:p>
    <w:p w14:paraId="550C10FA">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（七）强化海域使用与空间保障</w:t>
      </w:r>
    </w:p>
    <w:p w14:paraId="0A7F1AAD">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要求自然资源、生态环境、农业农村等部门建立联动机制，形成“一盘棋”格局。推进海洋牧场类产业园区选址和论证，简化审批流程，推动建立绿色通道，破解深远海养殖发展中的用海瓶颈。</w:t>
      </w:r>
    </w:p>
    <w:p w14:paraId="0022EDEE">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（八）完善资金支持与多元投入</w:t>
      </w:r>
    </w:p>
    <w:p w14:paraId="4EE7D499">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提出建立项目储备库，提升财政预算到位率和精准度。鼓励通过专项债、政策性金融工具等渠道拓宽融资；引导龙头企业、国有资本和社会资本共同参与，形成“财政资金+政策基金+金融信贷+社会资本”的多元化投入格局。</w:t>
      </w:r>
    </w:p>
    <w:p w14:paraId="49F47BBA">
      <w:pPr>
        <w:spacing w:after="0" w:line="590" w:lineRule="exact"/>
        <w:ind w:firstLine="640" w:firstLineChars="200"/>
        <w:jc w:val="both"/>
        <w:rPr>
          <w:rFonts w:hint="eastAsia" w:ascii="楷体_GB2312" w:eastAsia="楷体_GB2312"/>
          <w:sz w:val="32"/>
          <w:szCs w:val="32"/>
        </w:rPr>
      </w:pPr>
      <w:r>
        <w:rPr>
          <w:rFonts w:hint="eastAsia" w:ascii="楷体_GB2312" w:eastAsia="楷体_GB2312"/>
          <w:sz w:val="32"/>
          <w:szCs w:val="32"/>
        </w:rPr>
        <w:t>（九）拓展市场营销与品牌建设</w:t>
      </w:r>
    </w:p>
    <w:p w14:paraId="41293984">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聚焦“广东鲜品”区域公用品牌，打造差异化子品牌（如“湛江金鲳”等）。依托“粤贸全国、粤贸全球”等平台，强化与电商、商超、餐饮集团合作，拓展直播带货、冷链直供等渠道。建设加工冷链体系，在广州、深圳、湛江等地布局国家骨干冷链物流基地。推动“龙头企业+中小养殖户”模式，实现“大渔带小渔”，带动渔民稳定增收。</w:t>
      </w:r>
    </w:p>
    <w:p w14:paraId="3DE22EB2">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总体上，《实施方案》通过顶层设计、装备突破、政策保障、市场拓展四位一体的举措，形成了覆盖种业、装备、养殖、加工、品牌、金融的全链条推进路径，既回应了近岸生态保护和产业转型的现实需求，也为未来深远海规模化、智能化、绿色化发展奠定了坚实基础。</w:t>
      </w:r>
    </w:p>
    <w:p w14:paraId="51F3ECCB">
      <w:pPr>
        <w:spacing w:after="0" w:line="590" w:lineRule="exact"/>
        <w:ind w:firstLine="640" w:firstLineChars="200"/>
        <w:jc w:val="both"/>
        <w:rPr>
          <w:rFonts w:hint="eastAsia" w:ascii="黑体" w:hAnsi="黑体" w:eastAsia="黑体"/>
          <w:sz w:val="32"/>
          <w:szCs w:val="32"/>
        </w:rPr>
      </w:pPr>
      <w:r>
        <w:rPr>
          <w:rFonts w:hint="eastAsia" w:ascii="黑体" w:hAnsi="黑体" w:eastAsia="黑体"/>
          <w:sz w:val="32"/>
          <w:szCs w:val="32"/>
        </w:rPr>
        <w:t>四、下一步计划</w:t>
      </w:r>
    </w:p>
    <w:p w14:paraId="24184105">
      <w:pPr>
        <w:spacing w:after="0" w:line="590" w:lineRule="exact"/>
        <w:ind w:firstLine="640" w:firstLineChars="200"/>
        <w:jc w:val="both"/>
        <w:rPr>
          <w:rFonts w:hint="eastAsia" w:ascii="仿宋_GB2312" w:eastAsia="仿宋_GB2312"/>
          <w:sz w:val="32"/>
          <w:szCs w:val="32"/>
        </w:rPr>
      </w:pPr>
      <w:r>
        <w:rPr>
          <w:rFonts w:hint="eastAsia" w:ascii="仿宋_GB2312" w:eastAsia="仿宋_GB2312"/>
          <w:sz w:val="32"/>
          <w:szCs w:val="32"/>
        </w:rPr>
        <w:t>下一步，将广泛征求各科研院所、行业协会、企业及社会公众意见，对《实施方案》进一步修改完善，确保内容更科学、措施更可行、操作性更强。方案印发实施后，我厅将会同相关部门建立定期调度和督导机制，强化要素保障、资金支持和责任落实，推动各项任务落地见效，力争到2027年实现重力式网箱累计建设12,000个、海水养殖年产量达到440万吨、保险覆盖率达到40%以上，全面提升现代化海洋牧场建设水平。</w:t>
      </w:r>
    </w:p>
    <w:p w14:paraId="3FE3682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D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2025-09-30T10:34:37Z</dcterms:created>
  <dc:creator>wuyin</dc:creator>
  <cp:lastModifiedBy>李ZD</cp:lastModifiedBy>
  <dcterms:modified xsi:type="dcterms:W3CDTF">2025-09-30T10:34:58Z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eyJoZGlkIjoiY2MyMzYyMjE4OGEyYmU0NGU4OWM3NGNlZDgzMmNmZWUiLCJ1c2VySWQiOiIyMjU2NjUwODMifQ==</vt:lpwstr>
  </property>
  <property fmtid="{D5CDD505-2E9C-101B-9397-08002B2CF9AE}" pid="4" name="ICV">
    <vt:lpwstr>BD524D4121B64F1AA4F5FCDEADFE547A_12</vt:lpwstr>
  </property>
</Properties>
</file>