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8"/>
        <w:tblpPr w:leftFromText="180" w:rightFromText="180" w:vertAnchor="text" w:horzAnchor="page" w:tblpX="1135" w:tblpY="140"/>
        <w:tblOverlap w:val="never"/>
        <w:tblW w:w="99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870"/>
        <w:gridCol w:w="4260"/>
        <w:gridCol w:w="3478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9990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16"/>
                <w:sz w:val="36"/>
                <w:szCs w:val="36"/>
              </w:rPr>
            </w:pPr>
            <w:bookmarkStart w:id="0" w:name="_Hlk191390764"/>
            <w:bookmarkEnd w:id="0"/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16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16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16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16"/>
                <w:sz w:val="36"/>
                <w:szCs w:val="36"/>
                <w:lang w:eastAsia="zh-CN"/>
              </w:rPr>
              <w:t>增城区总量控制类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16"/>
                <w:sz w:val="36"/>
                <w:szCs w:val="36"/>
              </w:rPr>
              <w:t>引进人才入户指标计分表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16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16"/>
                <w:sz w:val="30"/>
                <w:szCs w:val="30"/>
                <w:lang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auto"/>
                <w:spacing w:val="16"/>
                <w:sz w:val="30"/>
                <w:szCs w:val="30"/>
                <w:lang w:eastAsia="zh-CN"/>
              </w:rPr>
              <w:t>常规申报</w:t>
            </w:r>
            <w:r>
              <w:rPr>
                <w:rFonts w:hint="eastAsia" w:ascii="Times New Roman" w:hAnsi="Times New Roman" w:eastAsia="仿宋_GB2312" w:cs="Times New Roman"/>
                <w:color w:val="auto"/>
                <w:spacing w:val="16"/>
                <w:sz w:val="30"/>
                <w:szCs w:val="30"/>
                <w:lang w:eastAsia="zh-CN"/>
              </w:rPr>
              <w:t>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单位（公章）：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填表时间：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" w:hRule="atLeast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16"/>
                <w:kern w:val="0"/>
                <w:sz w:val="24"/>
                <w:szCs w:val="24"/>
              </w:rPr>
              <w:t>类别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16"/>
                <w:kern w:val="0"/>
                <w:sz w:val="24"/>
                <w:szCs w:val="24"/>
              </w:rPr>
              <w:t>指标</w:t>
            </w:r>
          </w:p>
        </w:tc>
        <w:tc>
          <w:tcPr>
            <w:tcW w:w="4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16"/>
                <w:kern w:val="0"/>
                <w:sz w:val="24"/>
                <w:szCs w:val="24"/>
              </w:rPr>
              <w:t>指标内容及分值</w:t>
            </w:r>
          </w:p>
        </w:tc>
        <w:tc>
          <w:tcPr>
            <w:tcW w:w="34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16"/>
                <w:kern w:val="0"/>
                <w:sz w:val="24"/>
                <w:szCs w:val="24"/>
              </w:rPr>
              <w:t>说明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16"/>
                <w:kern w:val="0"/>
                <w:sz w:val="24"/>
                <w:szCs w:val="24"/>
              </w:rPr>
              <w:t>自评分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  <w:t>基础项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  <w:t>社保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  <w:t>年限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在申报单位连续缴纳社保月数：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个月1分，累计不超过80分。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在同一申报单位社保缴纳时间需连续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不能中断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  <w:lang w:eastAsia="zh-CN"/>
              </w:rPr>
              <w:t>或补缴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，若出现在子公司或分公司缴纳社保情况，需提供相关工商证明登记材料。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  <w:t>加分项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  <w:t>程度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</w:rPr>
              <w:t>1.本科及以上（90分）；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</w:rPr>
              <w:t>2.大专（80分）。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只取最高分，不累计加分。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</w:rPr>
              <w:t>1.专业技术资格（职称）：中级及以上（90分）；初级（80分）；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只取最高分，不累计加分。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</w:rPr>
              <w:t>2.专业技术人员职业（执业）资格（80分）。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只取最高分，不累计加分。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91" w:hRule="atLeast"/>
        </w:trPr>
        <w:tc>
          <w:tcPr>
            <w:tcW w:w="5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  <w:t>能力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lang w:eastAsia="zh-CN"/>
              </w:rPr>
              <w:t>技能人员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</w:rPr>
              <w:t>职业资格/职业技能等级：技师及以上（90分）；三级（80分)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.获得技工学校毕业证书（中级工及以上），具有中级工及以上职业资格/职业技能等级证书，且技工学校毕业专业、职业资格/职业技能等级证书工种与在引进单位目前从事岗位一致（以技能人员职业资格/职业技能等级证书计算加分：技师及以上100分、三级90分、四级80分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lang w:val="en-US" w:eastAsia="zh-CN"/>
              </w:rPr>
              <w:t>3.获得“增城工匠”荣誉（80分）。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只取最高分，不累计加分。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lang w:eastAsia="zh-CN"/>
              </w:rPr>
              <w:t>技能人员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职业资格/职业技能等级证书入户的，证书需在技能人才评价证书全国联网查询系统成功核验；由企业发证的技能证书，该发证企业须有面向社会开展职业技能等级认定的资质，如果发证企业仅限面向本单位职工开展职业技能等级认定，申报人拿证时应为该发证单位职工（以正常缴纳的社保记录为准）。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  <w:highlight w:val="none"/>
                <w:lang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  <w:highlight w:val="none"/>
                <w:lang w:eastAsia="zh-CN"/>
              </w:rPr>
              <w:t>级别</w:t>
            </w:r>
          </w:p>
        </w:tc>
        <w:tc>
          <w:tcPr>
            <w:tcW w:w="42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highlight w:val="none"/>
              </w:rPr>
              <w:t>引进单位法人、股东、董事长、董事、监事、经理、其他高级管理人员（以工商登记为准）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highlight w:val="none"/>
                <w:lang w:eastAsia="zh-CN"/>
              </w:rPr>
              <w:t>，院长、校长等同级别管理人员（正副职皆可）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highlight w:val="none"/>
              </w:rPr>
              <w:t>0分）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highlight w:val="none"/>
                <w:lang w:eastAsia="zh-CN"/>
              </w:rPr>
              <w:t>。（限一、二、三、六类单位，市级及以上孵化载体企业填报）</w:t>
            </w:r>
          </w:p>
        </w:tc>
        <w:tc>
          <w:tcPr>
            <w:tcW w:w="34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highlight w:val="none"/>
              </w:rPr>
              <w:t>需单位提供任职文件。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highlight w:val="none"/>
                <w:lang w:val="en-US" w:eastAsia="zh-CN"/>
              </w:rPr>
              <w:t>2.企业高级管理人员需要在工商部门备案，且备案时间不晚于工作方案印发之日。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65" w:hRule="atLeast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  <w:lang w:eastAsia="zh-CN"/>
              </w:rPr>
              <w:t>纳税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426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前三个纳税年度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  <w:lang w:val="en-US" w:eastAsia="zh-CN"/>
              </w:rPr>
              <w:t>2022-2024年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在我区缴纳个人所得税累计达1.5万元（含）以上的人员。（80分）。</w:t>
            </w:r>
          </w:p>
        </w:tc>
        <w:tc>
          <w:tcPr>
            <w:tcW w:w="3478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一个纳税年度指当年的1月1日至12月31日，以税款所属期为准。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仅计算申报人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  <w:lang w:eastAsia="zh-CN"/>
              </w:rPr>
              <w:t>办理年度汇算后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在引进单位的纳税额（以个人所得税APP-收入纳税明细截图为准），且所得项目为工资薪金所得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4" w:hRule="atLeast"/>
        </w:trPr>
        <w:tc>
          <w:tcPr>
            <w:tcW w:w="9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  <w:lang w:val="en-US" w:eastAsia="zh-CN"/>
              </w:rPr>
              <w:t>合计总分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pacing w:val="16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pacing w:val="16"/>
          <w:sz w:val="36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-414655</wp:posOffset>
                </wp:positionH>
                <wp:positionV relativeFrom="paragraph">
                  <wp:posOffset>-605155</wp:posOffset>
                </wp:positionV>
                <wp:extent cx="1285240" cy="352425"/>
                <wp:effectExtent l="0" t="0" r="10160" b="3175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908685" y="448945"/>
                          <a:ext cx="847725" cy="409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bidi w:val="0"/>
                              <w:adjustRightInd w:val="0"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eastAsia" w:ascii="黑体" w:hAnsi="黑体" w:eastAsia="黑体" w:cs="黑体"/>
                                <w:spacing w:val="16"/>
                                <w:sz w:val="32"/>
                                <w:szCs w:val="32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pacing w:val="16"/>
                                <w:sz w:val="32"/>
                                <w:szCs w:val="32"/>
                                <w:lang w:eastAsia="zh-CN"/>
                              </w:rPr>
                              <w:t>附件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pacing w:val="16"/>
                                <w:sz w:val="32"/>
                                <w:szCs w:val="32"/>
                                <w:lang w:val="en-US" w:eastAsia="zh-CN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32.65pt;margin-top:-47.65pt;height:27.75pt;width:101.2pt;z-index:251659264;mso-width-relative:page;mso-height-relative:page;" fillcolor="#FFFFFF" filled="t" stroked="f" coordsize="21600,21600" o:gfxdata="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bidi w:val="0"/>
                        <w:adjustRightInd w:val="0"/>
                        <w:snapToGrid w:val="0"/>
                        <w:spacing w:line="240" w:lineRule="auto"/>
                        <w:textAlignment w:val="auto"/>
                        <w:rPr>
                          <w:rFonts w:hint="eastAsia" w:ascii="黑体" w:hAnsi="黑体" w:eastAsia="黑体" w:cs="黑体"/>
                          <w:spacing w:val="16"/>
                          <w:sz w:val="32"/>
                          <w:szCs w:val="32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pacing w:val="16"/>
                          <w:sz w:val="32"/>
                          <w:szCs w:val="32"/>
                          <w:lang w:eastAsia="zh-CN"/>
                        </w:rPr>
                        <w:t>附件</w:t>
                      </w:r>
                      <w:r>
                        <w:rPr>
                          <w:rFonts w:hint="eastAsia" w:ascii="黑体" w:hAnsi="黑体" w:eastAsia="黑体" w:cs="黑体"/>
                          <w:spacing w:val="16"/>
                          <w:sz w:val="32"/>
                          <w:szCs w:val="32"/>
                          <w:lang w:val="en-US" w:eastAsia="zh-CN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pacing w:val="16"/>
          <w:sz w:val="24"/>
          <w:szCs w:val="24"/>
          <w:lang w:eastAsia="zh-CN"/>
        </w:rPr>
        <w:t>申报人签名：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pacing w:val="16"/>
          <w:sz w:val="24"/>
          <w:szCs w:val="24"/>
          <w:lang w:val="en-US" w:eastAsia="zh-CN"/>
        </w:rPr>
        <w:t xml:space="preserve">                  单位审核人签名：</w:t>
      </w:r>
    </w:p>
    <w:p>
      <w:pPr>
        <w:spacing w:line="4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</w:rPr>
        <w:sectPr>
          <w:headerReference r:id="rId4" w:type="first"/>
          <w:footerReference r:id="rId7" w:type="first"/>
          <w:headerReference r:id="rId3" w:type="default"/>
          <w:footerReference r:id="rId5" w:type="default"/>
          <w:footerReference r:id="rId6" w:type="even"/>
          <w:pgSz w:w="11906" w:h="16838"/>
          <w:pgMar w:top="2098" w:right="1474" w:bottom="1984" w:left="1587" w:header="851" w:footer="1757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720" w:num="1"/>
          <w:docGrid w:type="lines" w:linePitch="584" w:charSpace="0"/>
        </w:sectPr>
      </w:pPr>
      <w:bookmarkStart w:id="1" w:name="_GoBack"/>
      <w:bookmarkEnd w:id="1"/>
    </w:p>
    <w:tbl>
      <w:tblPr>
        <w:tblStyle w:val="8"/>
        <w:tblW w:w="999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870"/>
        <w:gridCol w:w="4165"/>
        <w:gridCol w:w="3555"/>
        <w:gridCol w:w="82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9990" w:type="dxa"/>
            <w:gridSpan w:val="5"/>
            <w:noWrap w:val="0"/>
            <w:vAlign w:val="center"/>
          </w:tcPr>
          <w:p>
            <w:pPr>
              <w:spacing w:line="460" w:lineRule="exact"/>
              <w:jc w:val="center"/>
              <w:rPr>
                <w:rFonts w:hint="eastAsia" w:ascii="Times New Roman" w:hAnsi="Times New Roman" w:eastAsia="仿宋_GB2312" w:cs="Times New Roman"/>
                <w:color w:val="auto"/>
                <w:spacing w:val="16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16"/>
                <w:sz w:val="36"/>
                <w:szCs w:val="36"/>
              </w:rPr>
              <w:t>202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16"/>
                <w:sz w:val="36"/>
                <w:szCs w:val="36"/>
                <w:lang w:val="en-US" w:eastAsia="zh-CN"/>
              </w:rPr>
              <w:t>5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16"/>
                <w:sz w:val="36"/>
                <w:szCs w:val="36"/>
              </w:rPr>
              <w:t>年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16"/>
                <w:sz w:val="36"/>
                <w:szCs w:val="36"/>
                <w:lang w:eastAsia="zh-CN"/>
              </w:rPr>
              <w:t>增城区总量控制类</w:t>
            </w:r>
            <w:r>
              <w:rPr>
                <w:rFonts w:hint="eastAsia" w:ascii="方正小标宋简体" w:hAnsi="方正小标宋简体" w:eastAsia="方正小标宋简体" w:cs="方正小标宋简体"/>
                <w:color w:val="auto"/>
                <w:spacing w:val="16"/>
                <w:sz w:val="36"/>
                <w:szCs w:val="36"/>
              </w:rPr>
              <w:t>引进人才入户指标计分表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color w:val="auto"/>
                <w:spacing w:val="16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auto"/>
                <w:spacing w:val="16"/>
                <w:sz w:val="30"/>
                <w:szCs w:val="30"/>
                <w:lang w:eastAsia="zh-CN"/>
              </w:rPr>
              <w:t>（特殊推荐）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eastAsia="zh-CN"/>
              </w:rPr>
              <w:t>申报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</w:rPr>
              <w:t>单位（公章）：</w:t>
            </w:r>
            <w:r>
              <w:rPr>
                <w:rFonts w:hint="eastAsia" w:ascii="仿宋_GB2312" w:hAnsi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                填表时间：   年  月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  <w:jc w:val="center"/>
        </w:trPr>
        <w:tc>
          <w:tcPr>
            <w:tcW w:w="5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16"/>
                <w:kern w:val="0"/>
                <w:sz w:val="24"/>
                <w:szCs w:val="24"/>
              </w:rPr>
              <w:t>类别</w:t>
            </w:r>
          </w:p>
        </w:tc>
        <w:tc>
          <w:tcPr>
            <w:tcW w:w="8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16"/>
                <w:kern w:val="0"/>
                <w:sz w:val="24"/>
                <w:szCs w:val="24"/>
              </w:rPr>
              <w:t>指标</w:t>
            </w:r>
          </w:p>
        </w:tc>
        <w:tc>
          <w:tcPr>
            <w:tcW w:w="41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16"/>
                <w:kern w:val="0"/>
                <w:sz w:val="24"/>
                <w:szCs w:val="24"/>
              </w:rPr>
              <w:t>指标内容及分值</w:t>
            </w:r>
          </w:p>
        </w:tc>
        <w:tc>
          <w:tcPr>
            <w:tcW w:w="3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16"/>
                <w:kern w:val="0"/>
                <w:sz w:val="24"/>
                <w:szCs w:val="24"/>
              </w:rPr>
              <w:t>说明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ascii="Times New Roman" w:hAnsi="Times New Roman" w:eastAsia="仿宋_GB2312" w:cs="Times New Roman"/>
                <w:b/>
                <w:bCs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color w:val="auto"/>
                <w:spacing w:val="16"/>
                <w:kern w:val="0"/>
                <w:sz w:val="24"/>
                <w:szCs w:val="24"/>
              </w:rPr>
              <w:t>自评分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0" w:hRule="atLeast"/>
          <w:jc w:val="center"/>
        </w:trPr>
        <w:tc>
          <w:tcPr>
            <w:tcW w:w="5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  <w:t>基础项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  <w:t>社保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  <w:t>年限</w:t>
            </w:r>
          </w:p>
        </w:tc>
        <w:tc>
          <w:tcPr>
            <w:tcW w:w="4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在申报单位连续缴纳社保月数：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个月1分，累计不超过80分。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在同一申报单位社保缴纳时间需连续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  <w:lang w:eastAsia="zh-CN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不能中断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  <w:lang w:eastAsia="zh-CN"/>
              </w:rPr>
              <w:t>或补缴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，若出现在子公司或分公司缴纳社保情况，需提供相关工商证明登记材料。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  <w:jc w:val="center"/>
        </w:trPr>
        <w:tc>
          <w:tcPr>
            <w:tcW w:w="57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  <w:t>加分项</w:t>
            </w: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  <w:t>文化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  <w:t>程度</w:t>
            </w:r>
          </w:p>
        </w:tc>
        <w:tc>
          <w:tcPr>
            <w:tcW w:w="4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</w:rPr>
              <w:t>1.本科及以上（90分）；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</w:rPr>
              <w:t>2.大专（80分）。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只取最高分，不累计加分。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  <w:t>专业技术资格</w:t>
            </w:r>
          </w:p>
        </w:tc>
        <w:tc>
          <w:tcPr>
            <w:tcW w:w="4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</w:rPr>
              <w:t>1.专业技术资格（职称）：中级及以上（90分）；初级（80分）；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只取最高分，不累计加分。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5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4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</w:rPr>
              <w:t>2.专业技术人员职业（执业）资格（80分）。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只取最高分，不累计加分。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0" w:hRule="atLeast"/>
          <w:jc w:val="center"/>
        </w:trPr>
        <w:tc>
          <w:tcPr>
            <w:tcW w:w="5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  <w:t>技术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  <w:t>能力</w:t>
            </w:r>
          </w:p>
        </w:tc>
        <w:tc>
          <w:tcPr>
            <w:tcW w:w="4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lang w:eastAsia="zh-CN"/>
              </w:rPr>
              <w:t>技能人员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</w:rPr>
              <w:t>职业资格/职业技能等级：技师及以上（90分）；三级（80分)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cs="Times New Roman"/>
                <w:color w:val="auto"/>
                <w:sz w:val="24"/>
                <w:szCs w:val="24"/>
                <w:lang w:val="en-US" w:eastAsia="zh-CN"/>
              </w:rPr>
              <w:t>2.获得技工学校毕业证书（中级工及以上），具有中级工及以上职业资格/职业技能等级证书，且技工学校毕业专业、职业资格/职业技能等级证书工种与在引进单位目前从事岗位一致（以技能人员职业资格/职业技能等级证书计算加分：技师及以上100分、三级90分、四级80分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lang w:val="en-US" w:eastAsia="zh-CN"/>
              </w:rPr>
              <w:t>3.获得“增城工匠”荣誉（80分）。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只取最高分，不累计加分。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32"/>
                <w:szCs w:val="32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持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  <w:lang w:eastAsia="zh-CN"/>
              </w:rPr>
              <w:t>技能人员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职业资格/职业技能等级证书入户的，证书需在技能人才评价证书全国联网查询系统成功核验；由企业发证的技能证书，该发证企业须有面向社会开展职业技能等级认定的资质，如果发证企业仅限面向本单位职工开展职业技能等级认定，申报人拿证时应为该发证单位职工（以正常缴纳的社保记录为准）。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0" w:hRule="atLeast"/>
          <w:jc w:val="center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  <w:highlight w:val="none"/>
                <w:lang w:eastAsia="zh-CN"/>
              </w:rPr>
              <w:t>职务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  <w:highlight w:val="none"/>
                <w:lang w:eastAsia="zh-CN"/>
              </w:rPr>
              <w:t>级别</w:t>
            </w:r>
          </w:p>
        </w:tc>
        <w:tc>
          <w:tcPr>
            <w:tcW w:w="41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highlight w:val="none"/>
              </w:rPr>
              <w:t>引进单位法人、股东、董事长、董事、监事、经理、其他高级管理人员（以工商登记为准）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highlight w:val="none"/>
                <w:lang w:eastAsia="zh-CN"/>
              </w:rPr>
              <w:t>，院长、校长等同级别管理人员（正副职皆可）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highlight w:val="none"/>
              </w:rPr>
              <w:t>0分）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highlight w:val="none"/>
                <w:lang w:eastAsia="zh-CN"/>
              </w:rPr>
              <w:t>。</w:t>
            </w:r>
          </w:p>
        </w:tc>
        <w:tc>
          <w:tcPr>
            <w:tcW w:w="35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highlight w:val="none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highlight w:val="none"/>
              </w:rPr>
              <w:t>需单位提供任职文件。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  <w:highlight w:val="none"/>
                <w:lang w:val="en-US" w:eastAsia="zh-CN"/>
              </w:rPr>
              <w:t>2.企业高级管理人员需要在工商部门备案，且备案时间不晚于工作方案印发之日。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85" w:hRule="atLeast"/>
          <w:jc w:val="center"/>
        </w:trPr>
        <w:tc>
          <w:tcPr>
            <w:tcW w:w="5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  <w:lang w:eastAsia="zh-CN"/>
              </w:rPr>
              <w:t>纳税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416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前三个纳税年度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  <w:lang w:val="en-US" w:eastAsia="zh-CN"/>
              </w:rPr>
              <w:t>2022-2024年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在我区缴纳个人所得税累计达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0"/>
                <w:kern w:val="0"/>
                <w:sz w:val="24"/>
                <w:szCs w:val="24"/>
              </w:rPr>
              <w:t>万元（含）以上的人员。（80分）。</w:t>
            </w:r>
          </w:p>
        </w:tc>
        <w:tc>
          <w:tcPr>
            <w:tcW w:w="3555" w:type="dxa"/>
            <w:tcBorders>
              <w:top w:val="nil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一个纳税年度指当年的1月1日至12月31日，以税款所属期为准。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仅计算申报人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  <w:lang w:eastAsia="zh-CN"/>
              </w:rPr>
              <w:t>办理年度汇算后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</w:rPr>
              <w:t>在引进单位的纳税额（以个人所得税APP-收入纳税明细截图为准），且所得项目为工资薪金所得</w:t>
            </w:r>
            <w:r>
              <w:rPr>
                <w:rFonts w:hint="default" w:ascii="Times New Roman" w:hAnsi="Times New Roman" w:eastAsia="仿宋_GB2312" w:cs="Times New Roman"/>
                <w:color w:val="auto"/>
                <w:spacing w:val="16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9" w:hRule="atLeast"/>
          <w:jc w:val="center"/>
        </w:trPr>
        <w:tc>
          <w:tcPr>
            <w:tcW w:w="91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  <w:lang w:val="en-US" w:eastAsia="zh-CN"/>
              </w:rPr>
              <w:t>合计总分</w:t>
            </w:r>
          </w:p>
        </w:tc>
        <w:tc>
          <w:tcPr>
            <w:tcW w:w="8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pacing w:val="16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272" w:firstLineChars="100"/>
        <w:jc w:val="both"/>
        <w:textAlignment w:val="auto"/>
        <w:rPr>
          <w:rFonts w:hint="eastAsia" w:ascii="仿宋_GB2312" w:hAnsi="Times New Roman" w:eastAsia="仿宋_GB2312" w:cs="Times New Roman"/>
          <w:b w:val="0"/>
          <w:bCs w:val="0"/>
          <w:color w:val="auto"/>
          <w:spacing w:val="16"/>
          <w:sz w:val="24"/>
          <w:szCs w:val="2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firstLine="272" w:firstLineChars="100"/>
        <w:jc w:val="both"/>
        <w:textAlignment w:val="auto"/>
        <w:rPr>
          <w:rFonts w:hint="default"/>
        </w:rPr>
      </w:pPr>
      <w:r>
        <w:rPr>
          <w:rFonts w:hint="eastAsia" w:ascii="仿宋_GB2312" w:hAnsi="Times New Roman" w:eastAsia="仿宋_GB2312" w:cs="Times New Roman"/>
          <w:b w:val="0"/>
          <w:bCs w:val="0"/>
          <w:color w:val="auto"/>
          <w:spacing w:val="16"/>
          <w:sz w:val="24"/>
          <w:szCs w:val="24"/>
          <w:lang w:eastAsia="zh-CN"/>
        </w:rPr>
        <w:t>申报人签名：</w:t>
      </w:r>
      <w:r>
        <w:rPr>
          <w:rFonts w:hint="eastAsia" w:ascii="仿宋_GB2312" w:hAnsi="Times New Roman" w:eastAsia="仿宋_GB2312" w:cs="Times New Roman"/>
          <w:b w:val="0"/>
          <w:bCs w:val="0"/>
          <w:color w:val="auto"/>
          <w:spacing w:val="16"/>
          <w:sz w:val="24"/>
          <w:szCs w:val="24"/>
          <w:lang w:val="en-US" w:eastAsia="zh-CN"/>
        </w:rPr>
        <w:t xml:space="preserve">                  单位审核人签名：</w:t>
      </w:r>
    </w:p>
    <w:sectPr>
      <w:pgSz w:w="11906" w:h="16838"/>
      <w:pgMar w:top="1701" w:right="1474" w:bottom="1701" w:left="1587" w:header="851" w:footer="1757" w:gutter="0"/>
      <w:pgNumType w:fmt="numberInDash"/>
      <w:cols w:space="720" w:num="1"/>
      <w:docGrid w:type="lines" w:linePitch="58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tLeast"/>
      <w:ind w:right="360"/>
      <w:jc w:val="left"/>
      <w:rPr>
        <w:rFonts w:ascii="Times New Roman" w:hAnsi="Times New Roman" w:eastAsia="仿宋_GB2312" w:cs="Times New Roman"/>
        <w:spacing w:val="16"/>
        <w:kern w:val="2"/>
        <w:sz w:val="18"/>
        <w:szCs w:val="18"/>
        <w:lang w:val="en-US" w:eastAsia="zh-CN" w:bidi="ar-SA"/>
      </w:rPr>
    </w:pPr>
    <w:r>
      <w:rPr>
        <w:rFonts w:ascii="Times New Roman" w:hAnsi="Times New Roman" w:eastAsia="仿宋_GB2312" w:cs="Times New Roman"/>
        <w:spacing w:val="16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spacing w:line="240" w:lineRule="atLeast"/>
                            <w:jc w:val="left"/>
                            <w:rPr>
                              <w:rFonts w:hint="default" w:ascii="Times New Roman" w:hAnsi="Times New Roman" w:eastAsia="仿宋_GB2312" w:cs="Times New Roman"/>
                              <w:spacing w:val="16"/>
                              <w:kern w:val="2"/>
                              <w:sz w:val="21"/>
                              <w:szCs w:val="21"/>
                              <w:lang w:val="en-US" w:eastAsia="zh-CN" w:bidi="ar-SA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t>19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pacing w:val="16"/>
                              <w:kern w:val="2"/>
                              <w:sz w:val="28"/>
                              <w:szCs w:val="28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CWTN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spacing w:line="240" w:lineRule="atLeast"/>
                      <w:jc w:val="left"/>
                      <w:rPr>
                        <w:rFonts w:hint="default" w:ascii="Times New Roman" w:hAnsi="Times New Roman" w:eastAsia="仿宋_GB2312" w:cs="Times New Roman"/>
                        <w:spacing w:val="16"/>
                        <w:kern w:val="2"/>
                        <w:sz w:val="21"/>
                        <w:szCs w:val="21"/>
                        <w:lang w:val="en-US" w:eastAsia="zh-CN" w:bidi="ar-SA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t>19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pacing w:val="16"/>
                        <w:kern w:val="2"/>
                        <w:sz w:val="28"/>
                        <w:szCs w:val="28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spacing w:line="240" w:lineRule="atLeast"/>
      <w:jc w:val="left"/>
      <w:rPr>
        <w:rFonts w:ascii="Times New Roman" w:hAnsi="Times New Roman" w:eastAsia="仿宋_GB2312" w:cs="Times New Roman"/>
        <w:spacing w:val="16"/>
        <w:kern w:val="2"/>
        <w:sz w:val="28"/>
        <w:szCs w:val="28"/>
        <w:lang w:val="en-US" w:eastAsia="zh-CN" w:bidi="ar-S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  <w:jc w:val="both"/>
      <w:rPr>
        <w:rFonts w:ascii="Times New Roman" w:hAnsi="Times New Roman" w:cs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36708C"/>
    <w:rsid w:val="03946A99"/>
    <w:rsid w:val="03C85032"/>
    <w:rsid w:val="06A82582"/>
    <w:rsid w:val="0C29408A"/>
    <w:rsid w:val="0E183777"/>
    <w:rsid w:val="0ED3778E"/>
    <w:rsid w:val="0FAD1D69"/>
    <w:rsid w:val="112A43CB"/>
    <w:rsid w:val="16325D98"/>
    <w:rsid w:val="172775F5"/>
    <w:rsid w:val="1AC16697"/>
    <w:rsid w:val="1C8B42FF"/>
    <w:rsid w:val="23AA6EEA"/>
    <w:rsid w:val="245F24F4"/>
    <w:rsid w:val="24C827AF"/>
    <w:rsid w:val="254E6D64"/>
    <w:rsid w:val="287B1828"/>
    <w:rsid w:val="2B5D59FE"/>
    <w:rsid w:val="2C503AC8"/>
    <w:rsid w:val="2E7852F4"/>
    <w:rsid w:val="31785D1A"/>
    <w:rsid w:val="34277773"/>
    <w:rsid w:val="34594644"/>
    <w:rsid w:val="3BA932EE"/>
    <w:rsid w:val="3C277ED7"/>
    <w:rsid w:val="3CE62073"/>
    <w:rsid w:val="3D36708C"/>
    <w:rsid w:val="3D4D2D16"/>
    <w:rsid w:val="3FF53E74"/>
    <w:rsid w:val="41C13345"/>
    <w:rsid w:val="44F21DFA"/>
    <w:rsid w:val="455E5C4E"/>
    <w:rsid w:val="4762410D"/>
    <w:rsid w:val="49170937"/>
    <w:rsid w:val="49311309"/>
    <w:rsid w:val="493C49EC"/>
    <w:rsid w:val="49B5418D"/>
    <w:rsid w:val="4A2B515C"/>
    <w:rsid w:val="4AA56185"/>
    <w:rsid w:val="4B5020E6"/>
    <w:rsid w:val="4BFB5521"/>
    <w:rsid w:val="4C49332B"/>
    <w:rsid w:val="4F916BCF"/>
    <w:rsid w:val="51C81BDB"/>
    <w:rsid w:val="529C7CFE"/>
    <w:rsid w:val="53594478"/>
    <w:rsid w:val="54777228"/>
    <w:rsid w:val="55810833"/>
    <w:rsid w:val="57251C7D"/>
    <w:rsid w:val="57960D07"/>
    <w:rsid w:val="5B494349"/>
    <w:rsid w:val="5B7F1384"/>
    <w:rsid w:val="5BD579F7"/>
    <w:rsid w:val="5E426108"/>
    <w:rsid w:val="5EE96134"/>
    <w:rsid w:val="606C7440"/>
    <w:rsid w:val="65F6254F"/>
    <w:rsid w:val="66AC0661"/>
    <w:rsid w:val="66D3102D"/>
    <w:rsid w:val="67CD6531"/>
    <w:rsid w:val="7023779A"/>
    <w:rsid w:val="70B870E2"/>
    <w:rsid w:val="729F6DF6"/>
    <w:rsid w:val="740E148A"/>
    <w:rsid w:val="7476064E"/>
    <w:rsid w:val="74B62489"/>
    <w:rsid w:val="752D2BD4"/>
    <w:rsid w:val="764460BC"/>
    <w:rsid w:val="771014B5"/>
    <w:rsid w:val="77E70AAD"/>
    <w:rsid w:val="790B343D"/>
    <w:rsid w:val="79EC2C08"/>
    <w:rsid w:val="7BE14791"/>
    <w:rsid w:val="7C9723A3"/>
    <w:rsid w:val="7E131C92"/>
    <w:rsid w:val="7F380285"/>
    <w:rsid w:val="7F4D64A4"/>
    <w:rsid w:val="7FB53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qFormat="1"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widowControl w:val="0"/>
      <w:spacing w:line="200" w:lineRule="exact"/>
      <w:ind w:firstLine="420" w:firstLineChars="200"/>
      <w:jc w:val="both"/>
    </w:pPr>
    <w:rPr>
      <w:rFonts w:ascii="Times New Roman" w:hAnsi="Times New Roman" w:eastAsia="仿宋_GB2312" w:cs="Times New Roman"/>
      <w:spacing w:val="16"/>
      <w:kern w:val="2"/>
      <w:sz w:val="32"/>
      <w:szCs w:val="32"/>
      <w:lang w:val="en-US" w:eastAsia="zh-CN" w:bidi="ar-SA"/>
    </w:rPr>
  </w:style>
  <w:style w:type="paragraph" w:styleId="3">
    <w:name w:val="toc 4"/>
    <w:basedOn w:val="1"/>
    <w:next w:val="1"/>
    <w:qFormat/>
    <w:uiPriority w:val="0"/>
    <w:pPr>
      <w:widowControl w:val="0"/>
      <w:wordWrap w:val="0"/>
      <w:spacing w:line="200" w:lineRule="exact"/>
      <w:ind w:left="850"/>
      <w:jc w:val="both"/>
    </w:pPr>
    <w:rPr>
      <w:rFonts w:ascii="Calibri" w:hAnsi="Calibri" w:eastAsia="仿宋_GB2312" w:cs="黑体"/>
      <w:spacing w:val="16"/>
      <w:kern w:val="2"/>
      <w:sz w:val="32"/>
      <w:szCs w:val="22"/>
      <w:lang w:val="en-US" w:eastAsia="zh-CN" w:bidi="ar-SA"/>
    </w:rPr>
  </w:style>
  <w:style w:type="paragraph" w:styleId="4">
    <w:name w:val="Body Text"/>
    <w:basedOn w:val="1"/>
    <w:qFormat/>
    <w:uiPriority w:val="0"/>
    <w:pPr>
      <w:spacing w:line="540" w:lineRule="exact"/>
    </w:pPr>
    <w:rPr>
      <w:b/>
      <w:kern w:val="0"/>
      <w:sz w:val="44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toc 2"/>
    <w:basedOn w:val="1"/>
    <w:next w:val="1"/>
    <w:qFormat/>
    <w:uiPriority w:val="0"/>
    <w:pPr>
      <w:ind w:left="420" w:leftChars="200"/>
    </w:pPr>
    <w:rPr>
      <w:spacing w:val="16"/>
      <w:sz w:val="32"/>
      <w:szCs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No Spacing"/>
    <w:qFormat/>
    <w:uiPriority w:val="0"/>
    <w:pPr>
      <w:adjustRightInd w:val="0"/>
      <w:snapToGrid w:val="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customStyle="1" w:styleId="12">
    <w:name w:val="font6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3">
    <w:name w:val="font41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24</Pages>
  <Words>10561</Words>
  <Characters>10880</Characters>
  <Lines>0</Lines>
  <Paragraphs>0</Paragraphs>
  <TotalTime>2</TotalTime>
  <ScaleCrop>false</ScaleCrop>
  <LinksUpToDate>false</LinksUpToDate>
  <CharactersWithSpaces>11063</CharactersWithSpaces>
  <Application>WPS Office_11.8.2.12118_F1E327BC-269C-435d-A152-05C5408002CA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2025-05-09T02:19:00Z</dcterms:created>
  <dc:creator>Administrator</dc:creator>
  <cp:lastModifiedBy>Administrator</cp:lastModifiedBy>
  <cp:lastPrinted>2025-06-19T02:38:00Z</cp:lastPrinted>
  <dcterms:modified xsi:type="dcterms:W3CDTF">2025-06-20T08:25:31Z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2052-11.8.2.12118</vt:lpwstr>
  </property>
  <property fmtid="{D5CDD505-2E9C-101B-9397-08002B2CF9AE}" pid="3" name="KSOTemplateDocerSaveRecord">
    <vt:lpwstr>eyJoZGlkIjoiYjk4ODg1OGYxMjA3NGQ1ZWQ1MjVkNmUwOTJjZjMyZWIiLCJ1c2VySWQiOiIyNTc5ODQ0NDAifQ==</vt:lpwstr>
  </property>
  <property fmtid="{D5CDD505-2E9C-101B-9397-08002B2CF9AE}" pid="4" name="ICV">
    <vt:lpwstr>4DB67D1E8755464C821C9F00400D5784</vt:lpwstr>
  </property>
</Properties>
</file>