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560" w:lineRule="exact"/>
        <w:ind w:firstLine="440" w:firstLineChars="100"/>
        <w:jc w:val="both"/>
        <w:outlineLvl w:val="0"/>
        <w:rPr>
          <w:rFonts w:hint="eastAsia" w:ascii="方正小标宋_GBK" w:hAnsi="方正小标宋_GBK" w:eastAsia="方正小标宋_GBK" w:cs="方正小标宋_GBK"/>
          <w:sz w:val="44"/>
          <w:szCs w:val="44"/>
          <w:highlight w:val="none"/>
          <w:lang w:eastAsia="zh-CN"/>
        </w:rPr>
      </w:pPr>
      <w:r>
        <w:rPr>
          <w:rFonts w:hint="eastAsia" w:ascii="方正小标宋_GBK" w:hAnsi="方正小标宋_GBK" w:eastAsia="方正小标宋_GBK" w:cs="方正小标宋_GBK"/>
          <w:sz w:val="44"/>
          <w:szCs w:val="44"/>
          <w:highlight w:val="none"/>
          <w:lang w:eastAsia="zh-CN"/>
        </w:rPr>
        <w:t>南山区促进产业高质量发展专项资金——</w:t>
      </w:r>
    </w:p>
    <w:p>
      <w:pPr>
        <w:pageBreakBefore w:val="0"/>
        <w:kinsoku/>
        <w:wordWrap/>
        <w:overflowPunct/>
        <w:topLinePunct w:val="0"/>
        <w:autoSpaceDE/>
        <w:autoSpaceDN/>
        <w:bidi w:val="0"/>
        <w:spacing w:line="560" w:lineRule="exact"/>
        <w:jc w:val="center"/>
        <w:outlineLvl w:val="0"/>
        <w:rPr>
          <w:rFonts w:hint="eastAsia" w:ascii="方正小标宋_GBK" w:hAnsi="方正小标宋_GBK" w:eastAsia="方正小标宋_GBK" w:cs="方正小标宋_GBK"/>
          <w:color w:val="000000"/>
          <w:sz w:val="44"/>
          <w:szCs w:val="44"/>
          <w:highlight w:val="none"/>
          <w:lang w:val="en-US" w:eastAsia="zh-CN"/>
        </w:rPr>
      </w:pPr>
      <w:r>
        <w:rPr>
          <w:rFonts w:hint="eastAsia" w:ascii="方正小标宋_GBK" w:hAnsi="方正小标宋_GBK" w:eastAsia="方正小标宋_GBK" w:cs="方正小标宋_GBK"/>
          <w:bCs/>
          <w:sz w:val="44"/>
          <w:szCs w:val="44"/>
          <w:lang w:eastAsia="zh-CN" w:bidi="ar-SA"/>
        </w:rPr>
        <w:t>区科技创新局</w:t>
      </w:r>
      <w:r>
        <w:rPr>
          <w:rFonts w:hint="eastAsia" w:ascii="方正小标宋_GBK" w:hAnsi="方正小标宋_GBK" w:eastAsia="方正小标宋_GBK" w:cs="方正小标宋_GBK"/>
          <w:color w:val="000000"/>
          <w:sz w:val="44"/>
          <w:szCs w:val="44"/>
          <w:highlight w:val="none"/>
          <w:lang w:eastAsia="zh-CN"/>
        </w:rPr>
        <w:t>分项资金</w:t>
      </w:r>
    </w:p>
    <w:p>
      <w:pPr>
        <w:pageBreakBefore w:val="0"/>
        <w:kinsoku/>
        <w:wordWrap/>
        <w:overflowPunct/>
        <w:topLinePunct w:val="0"/>
        <w:autoSpaceDE/>
        <w:autoSpaceDN/>
        <w:bidi w:val="0"/>
        <w:spacing w:line="560" w:lineRule="exact"/>
        <w:jc w:val="center"/>
        <w:outlineLvl w:val="0"/>
        <w:rPr>
          <w:rFonts w:hint="eastAsia" w:ascii="方正小标宋_GBK" w:hAnsi="方正小标宋_GBK" w:eastAsia="方正小标宋_GBK" w:cs="方正小标宋_GBK"/>
          <w:color w:val="000000"/>
          <w:sz w:val="44"/>
          <w:szCs w:val="44"/>
          <w:highlight w:val="none"/>
          <w:lang w:val="en-US" w:eastAsia="zh-CN"/>
        </w:rPr>
      </w:pPr>
      <w:r>
        <w:rPr>
          <w:rFonts w:hint="eastAsia" w:ascii="方正小标宋_GBK" w:hAnsi="方正小标宋_GBK" w:eastAsia="方正小标宋_GBK" w:cs="方正小标宋_GBK"/>
          <w:color w:val="000000"/>
          <w:sz w:val="44"/>
          <w:szCs w:val="44"/>
          <w:highlight w:val="none"/>
          <w:lang w:val="en-US" w:eastAsia="zh-CN"/>
        </w:rPr>
        <w:t>新药创新能力提升支持计划操作规程</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bookmarkStart w:id="0" w:name="_GoBack"/>
      <w:bookmarkEnd w:id="0"/>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依据《南山区促进产业高质量发展专项资金管理办法》《南山区促进生命科技相关产业高质量发展专项扶持措施》等文件规定，制定本操作规程。</w:t>
      </w:r>
    </w:p>
    <w:p>
      <w:pPr>
        <w:pageBreakBefore w:val="0"/>
        <w:kinsoku/>
        <w:wordWrap/>
        <w:overflowPunct/>
        <w:topLinePunct w:val="0"/>
        <w:autoSpaceDE/>
        <w:autoSpaceDN/>
        <w:bidi w:val="0"/>
        <w:spacing w:line="560" w:lineRule="exact"/>
        <w:ind w:firstLine="640" w:firstLineChars="200"/>
        <w:outlineLvl w:val="0"/>
        <w:rPr>
          <w:rFonts w:hAnsi="Times New Roman" w:eastAsia="仿宋"/>
          <w:kern w:val="0"/>
          <w:sz w:val="32"/>
          <w:szCs w:val="32"/>
        </w:rPr>
      </w:pPr>
      <w:r>
        <w:rPr>
          <w:rFonts w:hint="default" w:hAnsi="Times New Roman" w:eastAsia="黑体"/>
          <w:sz w:val="32"/>
          <w:szCs w:val="32"/>
        </w:rPr>
        <w:t>一、政策内容</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鼓励企业开展新药研发，对自主研发的创新药或改良型新药，</w:t>
      </w:r>
      <w:r>
        <w:rPr>
          <w:rFonts w:ascii="仿宋_GB2312" w:eastAsia="仿宋_GB2312"/>
          <w:color w:val="auto"/>
          <w:sz w:val="32"/>
          <w:szCs w:val="32"/>
        </w:rPr>
        <w:t>根据</w:t>
      </w:r>
      <w:r>
        <w:rPr>
          <w:rFonts w:hint="eastAsia" w:ascii="仿宋_GB2312" w:eastAsia="仿宋_GB2312"/>
          <w:color w:val="auto"/>
          <w:sz w:val="32"/>
          <w:szCs w:val="32"/>
          <w:highlight w:val="none"/>
        </w:rPr>
        <w:t>企业在南山区</w:t>
      </w:r>
      <w:r>
        <w:rPr>
          <w:rFonts w:hint="eastAsia" w:ascii="仿宋_GB2312" w:eastAsia="仿宋_GB2312"/>
          <w:color w:val="auto"/>
          <w:sz w:val="32"/>
          <w:szCs w:val="32"/>
          <w:highlight w:val="none"/>
          <w:lang w:val="en-US" w:eastAsia="zh-CN"/>
        </w:rPr>
        <w:t>实际经营</w:t>
      </w:r>
      <w:r>
        <w:rPr>
          <w:rFonts w:hint="eastAsia" w:ascii="仿宋_GB2312" w:eastAsia="仿宋_GB2312"/>
          <w:color w:val="auto"/>
          <w:sz w:val="32"/>
          <w:szCs w:val="32"/>
          <w:highlight w:val="none"/>
        </w:rPr>
        <w:t>以后</w:t>
      </w:r>
      <w:r>
        <w:rPr>
          <w:rFonts w:hint="eastAsia" w:ascii="仿宋_GB2312" w:eastAsia="仿宋_GB2312"/>
          <w:color w:val="auto"/>
          <w:sz w:val="32"/>
          <w:szCs w:val="32"/>
        </w:rPr>
        <w:t>的研发</w:t>
      </w:r>
      <w:r>
        <w:rPr>
          <w:rFonts w:ascii="仿宋_GB2312" w:eastAsia="仿宋_GB2312"/>
          <w:color w:val="auto"/>
          <w:sz w:val="32"/>
          <w:szCs w:val="32"/>
        </w:rPr>
        <w:t>进度</w:t>
      </w:r>
      <w:r>
        <w:rPr>
          <w:rFonts w:hint="eastAsia" w:ascii="仿宋_GB2312" w:eastAsia="仿宋_GB2312"/>
          <w:color w:val="auto"/>
          <w:sz w:val="32"/>
          <w:szCs w:val="32"/>
        </w:rPr>
        <w:t>分</w:t>
      </w:r>
      <w:r>
        <w:rPr>
          <w:rFonts w:ascii="仿宋_GB2312" w:eastAsia="仿宋_GB2312"/>
          <w:color w:val="auto"/>
          <w:sz w:val="32"/>
          <w:szCs w:val="32"/>
        </w:rPr>
        <w:t>阶段</w:t>
      </w:r>
      <w:r>
        <w:rPr>
          <w:rFonts w:hint="eastAsia" w:ascii="仿宋_GB2312" w:eastAsia="仿宋_GB2312"/>
          <w:color w:val="auto"/>
          <w:sz w:val="32"/>
          <w:szCs w:val="32"/>
        </w:rPr>
        <w:t>予以资助。完成临床前研究并开展临床试验的，每项最高资助150万元；完成I、II、III期临床试验的，每项最高分别资助200万元、500万元、800万元。</w:t>
      </w:r>
    </w:p>
    <w:p>
      <w:pPr>
        <w:pageBreakBefore w:val="0"/>
        <w:widowControl/>
        <w:kinsoku/>
        <w:wordWrap/>
        <w:overflowPunct/>
        <w:topLinePunct w:val="0"/>
        <w:autoSpaceDE/>
        <w:autoSpaceDN/>
        <w:bidi w:val="0"/>
        <w:spacing w:line="560" w:lineRule="exact"/>
        <w:ind w:firstLine="640" w:firstLineChars="200"/>
        <w:outlineLvl w:val="9"/>
        <w:rPr>
          <w:rFonts w:hint="default" w:hAnsi="Times New Roman" w:eastAsia="仿宋_GB2312"/>
          <w:color w:val="auto"/>
          <w:sz w:val="32"/>
          <w:szCs w:val="32"/>
        </w:rPr>
      </w:pPr>
      <w:r>
        <w:rPr>
          <w:rFonts w:hint="eastAsia" w:ascii="仿宋_GB2312" w:eastAsia="仿宋_GB2312"/>
          <w:color w:val="auto"/>
          <w:sz w:val="32"/>
          <w:szCs w:val="32"/>
        </w:rPr>
        <w:t>每家企业每年最高资助2000万元。获得上述资助的药品其最终上市许可持有人需为南山区企业</w:t>
      </w:r>
      <w:r>
        <w:rPr>
          <w:rFonts w:hint="eastAsia" w:ascii="仿宋_GB2312" w:eastAsia="仿宋_GB2312"/>
          <w:color w:val="auto"/>
          <w:sz w:val="32"/>
          <w:szCs w:val="32"/>
          <w:lang w:eastAsia="zh-CN"/>
        </w:rPr>
        <w:t>。</w:t>
      </w:r>
    </w:p>
    <w:p>
      <w:pPr>
        <w:pageBreakBefore w:val="0"/>
        <w:widowControl/>
        <w:kinsoku/>
        <w:wordWrap/>
        <w:overflowPunct/>
        <w:topLinePunct w:val="0"/>
        <w:autoSpaceDE/>
        <w:autoSpaceDN/>
        <w:bidi w:val="0"/>
        <w:spacing w:line="560" w:lineRule="exact"/>
        <w:ind w:firstLine="640" w:firstLineChars="200"/>
        <w:outlineLvl w:val="0"/>
        <w:rPr>
          <w:rFonts w:eastAsia="黑体"/>
          <w:sz w:val="32"/>
          <w:szCs w:val="32"/>
        </w:rPr>
      </w:pPr>
      <w:r>
        <w:rPr>
          <w:rFonts w:hint="default" w:hAnsi="Times New Roman" w:eastAsia="黑体"/>
          <w:sz w:val="32"/>
          <w:szCs w:val="32"/>
        </w:rPr>
        <w:t>二、资助方式</w:t>
      </w:r>
    </w:p>
    <w:p>
      <w:pPr>
        <w:pageBreakBefore w:val="0"/>
        <w:widowControl/>
        <w:kinsoku/>
        <w:wordWrap/>
        <w:overflowPunct/>
        <w:topLinePunct w:val="0"/>
        <w:autoSpaceDE/>
        <w:autoSpaceDN/>
        <w:bidi w:val="0"/>
        <w:spacing w:line="560" w:lineRule="exact"/>
        <w:ind w:firstLine="640" w:firstLineChars="200"/>
        <w:outlineLvl w:val="9"/>
        <w:rPr>
          <w:rFonts w:hint="default" w:eastAsia="仿宋_GB2312"/>
          <w:sz w:val="32"/>
          <w:szCs w:val="32"/>
        </w:rPr>
      </w:pPr>
      <w:r>
        <w:rPr>
          <w:rFonts w:hint="default" w:ascii="Times New Roman" w:eastAsia="仿宋_GB2312"/>
          <w:sz w:val="32"/>
          <w:szCs w:val="32"/>
          <w:lang w:eastAsia="zh-CN"/>
        </w:rPr>
        <w:t>本资助计划</w:t>
      </w:r>
      <w:r>
        <w:rPr>
          <w:rFonts w:hint="default" w:eastAsia="仿宋_GB2312"/>
          <w:sz w:val="32"/>
          <w:szCs w:val="32"/>
        </w:rPr>
        <w:t>属于</w:t>
      </w:r>
      <w:r>
        <w:rPr>
          <w:rFonts w:hint="default" w:eastAsia="仿宋_GB2312"/>
          <w:sz w:val="32"/>
          <w:szCs w:val="32"/>
          <w:lang w:eastAsia="zh-CN"/>
        </w:rPr>
        <w:t>核准</w:t>
      </w:r>
      <w:r>
        <w:rPr>
          <w:rFonts w:hint="default" w:eastAsia="仿宋_GB2312"/>
          <w:sz w:val="32"/>
          <w:szCs w:val="32"/>
        </w:rPr>
        <w:t>类项目，资助资金的安排使用坚持公平、公开、公正的原则，实行自愿申报、科学决策和绩效评估的管理制度，采取无偿资助方式和事后补贴制，受资助项目无需验收。</w:t>
      </w:r>
    </w:p>
    <w:p>
      <w:pPr>
        <w:pageBreakBefore w:val="0"/>
        <w:widowControl/>
        <w:kinsoku/>
        <w:wordWrap/>
        <w:overflowPunct/>
        <w:topLinePunct w:val="0"/>
        <w:autoSpaceDE/>
        <w:autoSpaceDN/>
        <w:bidi w:val="0"/>
        <w:spacing w:line="560" w:lineRule="exact"/>
        <w:ind w:firstLine="640" w:firstLineChars="200"/>
        <w:outlineLvl w:val="9"/>
        <w:rPr>
          <w:rFonts w:hint="default" w:hAnsi="Times New Roman" w:eastAsia="仿宋_GB2312"/>
          <w:sz w:val="32"/>
          <w:szCs w:val="32"/>
        </w:rPr>
      </w:pPr>
      <w:r>
        <w:rPr>
          <w:rFonts w:hint="default" w:eastAsia="仿宋_GB2312"/>
          <w:sz w:val="32"/>
          <w:szCs w:val="32"/>
        </w:rPr>
        <w:t>本项资助受年度资金预算控制，区</w:t>
      </w:r>
      <w:r>
        <w:rPr>
          <w:rFonts w:hint="eastAsia" w:eastAsia="仿宋_GB2312"/>
          <w:sz w:val="32"/>
          <w:szCs w:val="32"/>
          <w:lang w:eastAsia="zh-CN"/>
        </w:rPr>
        <w:t>科技创新</w:t>
      </w:r>
      <w:r>
        <w:rPr>
          <w:rFonts w:hint="default" w:eastAsia="仿宋_GB2312"/>
          <w:sz w:val="32"/>
          <w:szCs w:val="32"/>
          <w:lang w:eastAsia="zh-CN"/>
        </w:rPr>
        <w:t>局</w:t>
      </w:r>
      <w:r>
        <w:rPr>
          <w:rFonts w:hint="default" w:eastAsia="仿宋_GB2312"/>
          <w:sz w:val="32"/>
          <w:szCs w:val="32"/>
        </w:rPr>
        <w:t>视申报情况和预算安排，据以对资助金额、支持比例和拨付进度等进行统一调整，申报</w:t>
      </w:r>
      <w:r>
        <w:rPr>
          <w:rFonts w:hint="default" w:eastAsia="仿宋_GB2312"/>
          <w:sz w:val="32"/>
          <w:szCs w:val="32"/>
          <w:lang w:eastAsia="zh-CN"/>
        </w:rPr>
        <w:t>主体</w:t>
      </w:r>
      <w:r>
        <w:rPr>
          <w:rFonts w:hint="default" w:eastAsia="仿宋_GB2312"/>
          <w:sz w:val="32"/>
          <w:szCs w:val="32"/>
        </w:rPr>
        <w:t>应无条件同意调整结果。</w:t>
      </w:r>
    </w:p>
    <w:p>
      <w:pPr>
        <w:pageBreakBefore w:val="0"/>
        <w:widowControl/>
        <w:kinsoku/>
        <w:wordWrap/>
        <w:overflowPunct/>
        <w:topLinePunct w:val="0"/>
        <w:autoSpaceDE/>
        <w:autoSpaceDN/>
        <w:bidi w:val="0"/>
        <w:spacing w:line="560" w:lineRule="exact"/>
        <w:ind w:firstLine="640" w:firstLineChars="200"/>
        <w:outlineLvl w:val="0"/>
        <w:rPr>
          <w:rFonts w:hint="default" w:eastAsia="黑体"/>
          <w:sz w:val="32"/>
          <w:szCs w:val="32"/>
          <w:lang w:eastAsia="zh-CN"/>
        </w:rPr>
      </w:pPr>
      <w:r>
        <w:rPr>
          <w:rFonts w:hint="default" w:hAnsi="Times New Roman" w:eastAsia="黑体"/>
          <w:sz w:val="32"/>
          <w:szCs w:val="32"/>
          <w:lang w:eastAsia="zh-CN"/>
        </w:rPr>
        <w:t>三</w:t>
      </w:r>
      <w:r>
        <w:rPr>
          <w:rFonts w:hint="default" w:hAnsi="Times New Roman" w:eastAsia="黑体"/>
          <w:sz w:val="32"/>
          <w:szCs w:val="32"/>
        </w:rPr>
        <w:t>、资助</w:t>
      </w:r>
      <w:r>
        <w:rPr>
          <w:rFonts w:hint="default" w:hAnsi="Times New Roman" w:eastAsia="黑体"/>
          <w:sz w:val="32"/>
          <w:szCs w:val="32"/>
          <w:lang w:eastAsia="zh-CN"/>
        </w:rPr>
        <w:t>标准</w:t>
      </w:r>
    </w:p>
    <w:p>
      <w:pPr>
        <w:pStyle w:val="2"/>
        <w:pageBreakBefore w:val="0"/>
        <w:numPr>
          <w:ilvl w:val="-1"/>
          <w:numId w:val="0"/>
        </w:numPr>
        <w:kinsoku/>
        <w:wordWrap/>
        <w:overflowPunct/>
        <w:topLinePunct w:val="0"/>
        <w:autoSpaceDE/>
        <w:autoSpaceDN/>
        <w:bidi w:val="0"/>
        <w:spacing w:after="0" w:line="560" w:lineRule="exact"/>
        <w:ind w:firstLine="640" w:firstLineChars="200"/>
        <w:rPr>
          <w:rFonts w:hint="eastAsia" w:ascii="仿宋_GB2312" w:hAnsi="仿宋_GB2312" w:cs="仿宋_GB2312"/>
          <w:szCs w:val="32"/>
          <w:lang w:eastAsia="zh-CN"/>
        </w:rPr>
      </w:pPr>
      <w:r>
        <w:rPr>
          <w:rFonts w:hint="eastAsia" w:ascii="仿宋_GB2312" w:hAnsi="仿宋_GB2312" w:cs="仿宋_GB2312"/>
          <w:lang w:eastAsia="zh-CN"/>
        </w:rPr>
        <w:t>根据研发进度和药品注册分类，予以分档支持，</w:t>
      </w:r>
      <w:r>
        <w:rPr>
          <w:rFonts w:hint="eastAsia" w:ascii="仿宋_GB2312" w:hAnsi="仿宋_GB2312" w:cs="仿宋_GB2312"/>
          <w:szCs w:val="32"/>
          <w:lang w:eastAsia="zh-CN"/>
        </w:rPr>
        <w:t>同一药品不同规格不重复资助。</w:t>
      </w:r>
    </w:p>
    <w:tbl>
      <w:tblPr>
        <w:tblStyle w:val="10"/>
        <w:tblW w:w="91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7"/>
        <w:gridCol w:w="2205"/>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7" w:type="dxa"/>
          </w:tcPr>
          <w:p>
            <w:pPr>
              <w:pStyle w:val="2"/>
              <w:pageBreakBefore w:val="0"/>
              <w:numPr>
                <w:ilvl w:val="-1"/>
                <w:numId w:val="0"/>
              </w:numPr>
              <w:kinsoku/>
              <w:wordWrap/>
              <w:overflowPunct/>
              <w:topLinePunct w:val="0"/>
              <w:autoSpaceDE/>
              <w:autoSpaceDN/>
              <w:bidi w:val="0"/>
              <w:spacing w:after="0" w:line="560" w:lineRule="exact"/>
              <w:jc w:val="center"/>
              <w:rPr>
                <w:rFonts w:hint="eastAsia" w:ascii="黑体" w:hAnsi="黑体" w:eastAsia="黑体" w:cs="黑体"/>
                <w:sz w:val="24"/>
                <w:szCs w:val="24"/>
                <w:lang w:eastAsia="zh-CN"/>
              </w:rPr>
            </w:pPr>
            <w:r>
              <w:rPr>
                <w:rFonts w:hint="eastAsia" w:ascii="黑体" w:hAnsi="黑体" w:eastAsia="黑体" w:cs="黑体"/>
                <w:sz w:val="24"/>
                <w:szCs w:val="24"/>
                <w:lang w:eastAsia="zh-CN"/>
              </w:rPr>
              <w:t>完成临床试验阶段</w:t>
            </w:r>
          </w:p>
        </w:tc>
        <w:tc>
          <w:tcPr>
            <w:tcW w:w="2205" w:type="dxa"/>
            <w:vAlign w:val="top"/>
          </w:tcPr>
          <w:p>
            <w:pPr>
              <w:pStyle w:val="2"/>
              <w:pageBreakBefore w:val="0"/>
              <w:numPr>
                <w:ilvl w:val="-1"/>
                <w:numId w:val="0"/>
              </w:numPr>
              <w:kinsoku/>
              <w:wordWrap/>
              <w:overflowPunct/>
              <w:topLinePunct w:val="0"/>
              <w:autoSpaceDE/>
              <w:autoSpaceDN/>
              <w:bidi w:val="0"/>
              <w:spacing w:after="0" w:line="560" w:lineRule="exact"/>
              <w:ind w:left="0" w:leftChars="0" w:firstLine="0" w:firstLineChars="0"/>
              <w:jc w:val="center"/>
              <w:rPr>
                <w:rFonts w:hint="eastAsia" w:ascii="黑体" w:hAnsi="黑体" w:eastAsia="黑体" w:cs="黑体"/>
                <w:kern w:val="2"/>
                <w:sz w:val="24"/>
                <w:szCs w:val="24"/>
                <w:vertAlign w:val="baseline"/>
                <w:lang w:val="en-US" w:eastAsia="zh-CN" w:bidi="ar-SA"/>
              </w:rPr>
            </w:pPr>
            <w:r>
              <w:rPr>
                <w:rFonts w:hint="eastAsia" w:ascii="黑体" w:hAnsi="黑体" w:eastAsia="黑体" w:cs="黑体"/>
                <w:sz w:val="24"/>
                <w:szCs w:val="24"/>
                <w:vertAlign w:val="baseline"/>
                <w:lang w:val="en-US" w:eastAsia="zh-CN"/>
              </w:rPr>
              <w:t>创新药</w:t>
            </w:r>
          </w:p>
        </w:tc>
        <w:tc>
          <w:tcPr>
            <w:tcW w:w="2280" w:type="dxa"/>
            <w:vAlign w:val="top"/>
          </w:tcPr>
          <w:p>
            <w:pPr>
              <w:pStyle w:val="2"/>
              <w:pageBreakBefore w:val="0"/>
              <w:numPr>
                <w:ilvl w:val="-1"/>
                <w:numId w:val="0"/>
              </w:numPr>
              <w:kinsoku/>
              <w:wordWrap/>
              <w:overflowPunct/>
              <w:topLinePunct w:val="0"/>
              <w:autoSpaceDE/>
              <w:autoSpaceDN/>
              <w:bidi w:val="0"/>
              <w:spacing w:after="0" w:line="560" w:lineRule="exact"/>
              <w:ind w:left="0" w:leftChars="0" w:firstLine="0" w:firstLineChars="0"/>
              <w:jc w:val="center"/>
              <w:rPr>
                <w:rFonts w:hint="eastAsia" w:ascii="黑体" w:hAnsi="黑体" w:eastAsia="黑体" w:cs="黑体"/>
                <w:kern w:val="2"/>
                <w:sz w:val="24"/>
                <w:szCs w:val="24"/>
                <w:vertAlign w:val="baseline"/>
                <w:lang w:val="en-US" w:eastAsia="zh-CN" w:bidi="ar-SA"/>
              </w:rPr>
            </w:pPr>
            <w:r>
              <w:rPr>
                <w:rFonts w:hint="eastAsia" w:ascii="黑体" w:hAnsi="黑体" w:eastAsia="黑体" w:cs="黑体"/>
                <w:sz w:val="24"/>
                <w:szCs w:val="24"/>
                <w:vertAlign w:val="baseline"/>
                <w:lang w:val="en-US" w:eastAsia="zh-CN"/>
              </w:rPr>
              <w:t>改良型新药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7" w:type="dxa"/>
          </w:tcPr>
          <w:p>
            <w:pPr>
              <w:pStyle w:val="2"/>
              <w:pageBreakBefore w:val="0"/>
              <w:numPr>
                <w:ilvl w:val="-1"/>
                <w:numId w:val="0"/>
              </w:numPr>
              <w:kinsoku/>
              <w:wordWrap/>
              <w:overflowPunct/>
              <w:topLinePunct w:val="0"/>
              <w:autoSpaceDE/>
              <w:autoSpaceDN/>
              <w:bidi w:val="0"/>
              <w:spacing w:after="0" w:line="560" w:lineRule="exact"/>
              <w:rPr>
                <w:rFonts w:hint="eastAsia" w:ascii="仿宋_GB2312" w:hAnsi="仿宋_GB2312" w:cs="仿宋_GB2312"/>
                <w:sz w:val="24"/>
                <w:szCs w:val="24"/>
                <w:vertAlign w:val="baseline"/>
                <w:lang w:eastAsia="zh-CN"/>
              </w:rPr>
            </w:pPr>
            <w:r>
              <w:rPr>
                <w:rFonts w:hint="eastAsia" w:ascii="仿宋_GB2312" w:hAnsi="仿宋_GB2312" w:cs="仿宋_GB2312"/>
                <w:sz w:val="24"/>
                <w:szCs w:val="24"/>
              </w:rPr>
              <w:t>完成临床前研究</w:t>
            </w:r>
            <w:r>
              <w:rPr>
                <w:rFonts w:hint="eastAsia" w:ascii="仿宋_GB2312" w:hAnsi="仿宋_GB2312" w:cs="仿宋_GB2312"/>
                <w:sz w:val="24"/>
                <w:szCs w:val="24"/>
                <w:lang w:eastAsia="zh-CN"/>
              </w:rPr>
              <w:t>，</w:t>
            </w:r>
            <w:r>
              <w:rPr>
                <w:rFonts w:hint="eastAsia" w:ascii="仿宋_GB2312" w:hAnsi="仿宋_GB2312" w:cs="仿宋_GB2312"/>
                <w:sz w:val="24"/>
                <w:szCs w:val="24"/>
              </w:rPr>
              <w:t>并开展临床试验</w:t>
            </w:r>
          </w:p>
        </w:tc>
        <w:tc>
          <w:tcPr>
            <w:tcW w:w="2205" w:type="dxa"/>
          </w:tcPr>
          <w:p>
            <w:pPr>
              <w:pStyle w:val="2"/>
              <w:pageBreakBefore w:val="0"/>
              <w:numPr>
                <w:ilvl w:val="-1"/>
                <w:numId w:val="0"/>
              </w:numPr>
              <w:kinsoku/>
              <w:wordWrap/>
              <w:overflowPunct/>
              <w:topLinePunct w:val="0"/>
              <w:autoSpaceDE/>
              <w:autoSpaceDN/>
              <w:bidi w:val="0"/>
              <w:spacing w:after="0" w:line="560" w:lineRule="exact"/>
              <w:jc w:val="center"/>
              <w:rPr>
                <w:rFonts w:hint="eastAsia" w:ascii="仿宋_GB2312" w:hAnsi="仿宋_GB2312" w:cs="仿宋_GB2312"/>
                <w:sz w:val="24"/>
                <w:szCs w:val="24"/>
                <w:vertAlign w:val="baseline"/>
                <w:lang w:val="en-US" w:eastAsia="zh-CN"/>
              </w:rPr>
            </w:pPr>
            <w:r>
              <w:rPr>
                <w:rFonts w:hint="eastAsia" w:ascii="仿宋_GB2312" w:hAnsi="仿宋_GB2312" w:cs="仿宋_GB2312"/>
                <w:sz w:val="24"/>
                <w:szCs w:val="24"/>
                <w:vertAlign w:val="baseline"/>
                <w:lang w:eastAsia="zh-CN"/>
              </w:rPr>
              <w:t>每项最高</w:t>
            </w:r>
            <w:r>
              <w:rPr>
                <w:rFonts w:hint="eastAsia" w:ascii="仿宋_GB2312" w:hAnsi="仿宋_GB2312" w:cs="仿宋_GB2312"/>
                <w:sz w:val="24"/>
                <w:szCs w:val="24"/>
                <w:vertAlign w:val="baseline"/>
                <w:lang w:val="en-US" w:eastAsia="zh-CN"/>
              </w:rPr>
              <w:t>150万元</w:t>
            </w:r>
          </w:p>
        </w:tc>
        <w:tc>
          <w:tcPr>
            <w:tcW w:w="2280" w:type="dxa"/>
          </w:tcPr>
          <w:p>
            <w:pPr>
              <w:pStyle w:val="2"/>
              <w:pageBreakBefore w:val="0"/>
              <w:numPr>
                <w:ilvl w:val="-1"/>
                <w:numId w:val="0"/>
              </w:numPr>
              <w:kinsoku/>
              <w:wordWrap/>
              <w:overflowPunct/>
              <w:topLinePunct w:val="0"/>
              <w:autoSpaceDE/>
              <w:autoSpaceDN/>
              <w:bidi w:val="0"/>
              <w:spacing w:after="0" w:line="560" w:lineRule="exact"/>
              <w:jc w:val="center"/>
              <w:rPr>
                <w:rFonts w:hint="eastAsia" w:ascii="仿宋_GB2312" w:hAnsi="仿宋_GB2312" w:cs="仿宋_GB2312"/>
                <w:sz w:val="24"/>
                <w:szCs w:val="24"/>
                <w:vertAlign w:val="baseline"/>
                <w:lang w:val="en-US" w:eastAsia="zh-CN"/>
              </w:rPr>
            </w:pPr>
            <w:r>
              <w:rPr>
                <w:rFonts w:hint="eastAsia" w:ascii="仿宋_GB2312" w:hAnsi="仿宋_GB2312" w:cs="仿宋_GB2312"/>
                <w:sz w:val="24"/>
                <w:szCs w:val="24"/>
                <w:vertAlign w:val="baseline"/>
                <w:lang w:eastAsia="zh-CN"/>
              </w:rPr>
              <w:t>每项最高</w:t>
            </w:r>
            <w:r>
              <w:rPr>
                <w:rFonts w:hint="eastAsia" w:ascii="仿宋_GB2312" w:hAnsi="仿宋_GB2312" w:cs="仿宋_GB2312"/>
                <w:sz w:val="24"/>
                <w:szCs w:val="24"/>
                <w:vertAlign w:val="baseline"/>
                <w:lang w:val="en-US" w:eastAsia="zh-CN"/>
              </w:rPr>
              <w:t>100万元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7" w:type="dxa"/>
          </w:tcPr>
          <w:p>
            <w:pPr>
              <w:pStyle w:val="2"/>
              <w:pageBreakBefore w:val="0"/>
              <w:numPr>
                <w:ilvl w:val="-1"/>
                <w:numId w:val="0"/>
              </w:numPr>
              <w:kinsoku/>
              <w:wordWrap/>
              <w:overflowPunct/>
              <w:topLinePunct w:val="0"/>
              <w:autoSpaceDE/>
              <w:autoSpaceDN/>
              <w:bidi w:val="0"/>
              <w:spacing w:after="0" w:line="560" w:lineRule="exact"/>
              <w:rPr>
                <w:rFonts w:hint="eastAsia" w:ascii="仿宋_GB2312" w:hAnsi="仿宋_GB2312" w:cs="仿宋_GB2312"/>
                <w:sz w:val="24"/>
                <w:szCs w:val="24"/>
                <w:vertAlign w:val="baseline"/>
                <w:lang w:eastAsia="zh-CN"/>
              </w:rPr>
            </w:pPr>
            <w:r>
              <w:rPr>
                <w:rFonts w:hint="eastAsia" w:ascii="仿宋_GB2312" w:hAnsi="仿宋_GB2312" w:cs="仿宋_GB2312"/>
                <w:sz w:val="24"/>
                <w:szCs w:val="24"/>
                <w:lang w:eastAsia="zh-CN"/>
              </w:rPr>
              <w:t>完成</w:t>
            </w:r>
            <w:r>
              <w:rPr>
                <w:rFonts w:hint="eastAsia" w:ascii="仿宋_GB2312" w:hAnsi="仿宋_GB2312" w:eastAsia="仿宋_GB2312" w:cs="仿宋_GB2312"/>
                <w:sz w:val="24"/>
                <w:szCs w:val="24"/>
              </w:rPr>
              <w:t>I</w:t>
            </w:r>
            <w:r>
              <w:rPr>
                <w:rFonts w:hint="eastAsia" w:ascii="仿宋_GB2312" w:hAnsi="仿宋_GB2312" w:cs="仿宋_GB2312"/>
                <w:sz w:val="24"/>
                <w:szCs w:val="24"/>
                <w:lang w:eastAsia="zh-CN"/>
              </w:rPr>
              <w:t>期临床试验，并获批开展</w:t>
            </w:r>
            <w:r>
              <w:rPr>
                <w:rFonts w:hint="eastAsia" w:ascii="仿宋_GB2312" w:hAnsi="仿宋_GB2312" w:eastAsia="仿宋_GB2312" w:cs="仿宋_GB2312"/>
                <w:sz w:val="24"/>
                <w:szCs w:val="24"/>
              </w:rPr>
              <w:t>II</w:t>
            </w:r>
            <w:r>
              <w:rPr>
                <w:rFonts w:hint="eastAsia" w:ascii="仿宋_GB2312" w:hAnsi="仿宋_GB2312" w:cs="仿宋_GB2312"/>
                <w:sz w:val="24"/>
                <w:szCs w:val="24"/>
                <w:lang w:eastAsia="zh-CN"/>
              </w:rPr>
              <w:t>期临床</w:t>
            </w:r>
            <w:r>
              <w:rPr>
                <w:rFonts w:hint="eastAsia" w:ascii="仿宋_GB2312" w:hAnsi="仿宋_GB2312" w:eastAsia="仿宋_GB2312" w:cs="仿宋_GB2312"/>
                <w:sz w:val="24"/>
                <w:szCs w:val="24"/>
              </w:rPr>
              <w:t>试验</w:t>
            </w:r>
          </w:p>
        </w:tc>
        <w:tc>
          <w:tcPr>
            <w:tcW w:w="2205" w:type="dxa"/>
            <w:vAlign w:val="center"/>
          </w:tcPr>
          <w:p>
            <w:pPr>
              <w:pStyle w:val="2"/>
              <w:pageBreakBefore w:val="0"/>
              <w:numPr>
                <w:ilvl w:val="-1"/>
                <w:numId w:val="0"/>
              </w:numPr>
              <w:kinsoku/>
              <w:wordWrap/>
              <w:overflowPunct/>
              <w:topLinePunct w:val="0"/>
              <w:autoSpaceDE/>
              <w:autoSpaceDN/>
              <w:bidi w:val="0"/>
              <w:spacing w:after="0" w:line="560" w:lineRule="exact"/>
              <w:jc w:val="center"/>
              <w:rPr>
                <w:rFonts w:hint="default" w:ascii="仿宋_GB2312" w:hAnsi="仿宋_GB2312" w:cs="仿宋_GB2312"/>
                <w:sz w:val="24"/>
                <w:szCs w:val="24"/>
                <w:vertAlign w:val="baseline"/>
                <w:lang w:eastAsia="zh-CN"/>
              </w:rPr>
            </w:pPr>
            <w:r>
              <w:rPr>
                <w:rFonts w:hint="eastAsia" w:ascii="仿宋_GB2312" w:hAnsi="仿宋_GB2312" w:cs="仿宋_GB2312"/>
                <w:sz w:val="24"/>
                <w:szCs w:val="24"/>
                <w:vertAlign w:val="baseline"/>
                <w:lang w:eastAsia="zh-CN"/>
              </w:rPr>
              <w:t>每项最高</w:t>
            </w:r>
            <w:r>
              <w:rPr>
                <w:rFonts w:hint="eastAsia" w:ascii="仿宋_GB2312" w:hAnsi="仿宋_GB2312" w:cs="仿宋_GB2312"/>
                <w:sz w:val="24"/>
                <w:szCs w:val="24"/>
                <w:vertAlign w:val="baseline"/>
                <w:lang w:val="en-US" w:eastAsia="zh-CN"/>
              </w:rPr>
              <w:t>200万元</w:t>
            </w:r>
          </w:p>
        </w:tc>
        <w:tc>
          <w:tcPr>
            <w:tcW w:w="2280" w:type="dxa"/>
            <w:vAlign w:val="center"/>
          </w:tcPr>
          <w:p>
            <w:pPr>
              <w:pStyle w:val="2"/>
              <w:pageBreakBefore w:val="0"/>
              <w:numPr>
                <w:ilvl w:val="-1"/>
                <w:numId w:val="0"/>
              </w:numPr>
              <w:kinsoku/>
              <w:wordWrap/>
              <w:overflowPunct/>
              <w:topLinePunct w:val="0"/>
              <w:autoSpaceDE/>
              <w:autoSpaceDN/>
              <w:bidi w:val="0"/>
              <w:spacing w:after="0" w:line="560" w:lineRule="exact"/>
              <w:jc w:val="center"/>
              <w:rPr>
                <w:rFonts w:hint="eastAsia" w:ascii="仿宋_GB2312" w:hAnsi="仿宋_GB2312" w:cs="仿宋_GB2312"/>
                <w:sz w:val="24"/>
                <w:szCs w:val="24"/>
                <w:vertAlign w:val="baseline"/>
                <w:lang w:eastAsia="zh-CN"/>
              </w:rPr>
            </w:pPr>
            <w:r>
              <w:rPr>
                <w:rFonts w:hint="eastAsia" w:ascii="仿宋_GB2312" w:hAnsi="仿宋_GB2312" w:cs="仿宋_GB2312"/>
                <w:sz w:val="24"/>
                <w:szCs w:val="24"/>
                <w:vertAlign w:val="baseline"/>
                <w:lang w:eastAsia="zh-CN"/>
              </w:rPr>
              <w:t>每项最高</w:t>
            </w:r>
            <w:r>
              <w:rPr>
                <w:rFonts w:hint="eastAsia" w:ascii="仿宋_GB2312" w:hAnsi="仿宋_GB2312" w:cs="仿宋_GB2312"/>
                <w:sz w:val="24"/>
                <w:szCs w:val="24"/>
                <w:vertAlign w:val="baseline"/>
                <w:lang w:val="en-US" w:eastAsia="zh-CN"/>
              </w:rPr>
              <w:t>150万元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7" w:type="dxa"/>
          </w:tcPr>
          <w:p>
            <w:pPr>
              <w:pStyle w:val="2"/>
              <w:pageBreakBefore w:val="0"/>
              <w:numPr>
                <w:ilvl w:val="-1"/>
                <w:numId w:val="0"/>
              </w:numPr>
              <w:kinsoku/>
              <w:wordWrap/>
              <w:overflowPunct/>
              <w:topLinePunct w:val="0"/>
              <w:autoSpaceDE/>
              <w:autoSpaceDN/>
              <w:bidi w:val="0"/>
              <w:spacing w:after="0" w:line="560" w:lineRule="exact"/>
              <w:rPr>
                <w:rFonts w:hint="eastAsia" w:ascii="仿宋_GB2312" w:hAnsi="仿宋_GB2312" w:cs="仿宋_GB2312"/>
                <w:sz w:val="24"/>
                <w:szCs w:val="24"/>
                <w:vertAlign w:val="baseline"/>
                <w:lang w:eastAsia="zh-CN"/>
              </w:rPr>
            </w:pPr>
            <w:r>
              <w:rPr>
                <w:rFonts w:hint="eastAsia" w:ascii="仿宋_GB2312" w:hAnsi="仿宋_GB2312" w:cs="仿宋_GB2312"/>
                <w:sz w:val="24"/>
                <w:szCs w:val="24"/>
                <w:highlight w:val="none"/>
                <w:lang w:eastAsia="zh-CN"/>
              </w:rPr>
              <w:t>完成</w:t>
            </w:r>
            <w:r>
              <w:rPr>
                <w:rFonts w:hint="eastAsia" w:ascii="仿宋_GB2312" w:hAnsi="仿宋_GB2312" w:eastAsia="仿宋_GB2312" w:cs="仿宋_GB2312"/>
                <w:sz w:val="24"/>
                <w:szCs w:val="24"/>
                <w:highlight w:val="none"/>
              </w:rPr>
              <w:t>II</w:t>
            </w:r>
            <w:r>
              <w:rPr>
                <w:rFonts w:hint="eastAsia" w:ascii="仿宋_GB2312" w:hAnsi="仿宋_GB2312" w:cs="仿宋_GB2312"/>
                <w:sz w:val="24"/>
                <w:szCs w:val="24"/>
                <w:highlight w:val="none"/>
                <w:lang w:eastAsia="zh-CN"/>
              </w:rPr>
              <w:t>期临床试验，并获批开展</w:t>
            </w:r>
            <w:r>
              <w:rPr>
                <w:rFonts w:hint="eastAsia" w:ascii="仿宋_GB2312" w:hAnsi="仿宋_GB2312" w:eastAsia="仿宋_GB2312" w:cs="仿宋_GB2312"/>
                <w:sz w:val="24"/>
                <w:szCs w:val="24"/>
                <w:highlight w:val="none"/>
              </w:rPr>
              <w:t>III期临床试验或</w:t>
            </w:r>
            <w:r>
              <w:rPr>
                <w:rFonts w:hint="eastAsia" w:ascii="仿宋_GB2312" w:hAnsi="仿宋_GB2312" w:cs="仿宋_GB2312"/>
                <w:sz w:val="24"/>
                <w:szCs w:val="24"/>
                <w:highlight w:val="none"/>
                <w:lang w:eastAsia="zh-CN"/>
              </w:rPr>
              <w:t>获得</w:t>
            </w:r>
            <w:r>
              <w:rPr>
                <w:rFonts w:hint="eastAsia" w:ascii="仿宋_GB2312" w:hAnsi="仿宋_GB2312" w:eastAsia="仿宋_GB2312" w:cs="仿宋_GB2312"/>
                <w:sz w:val="24"/>
                <w:szCs w:val="24"/>
                <w:highlight w:val="none"/>
              </w:rPr>
              <w:t>药品注册</w:t>
            </w:r>
            <w:r>
              <w:rPr>
                <w:rFonts w:hint="eastAsia" w:ascii="仿宋_GB2312" w:hAnsi="仿宋_GB2312" w:cs="仿宋_GB2312"/>
                <w:sz w:val="24"/>
                <w:szCs w:val="24"/>
                <w:highlight w:val="none"/>
                <w:lang w:eastAsia="zh-CN"/>
              </w:rPr>
              <w:t>上市</w:t>
            </w:r>
            <w:r>
              <w:rPr>
                <w:rFonts w:hint="eastAsia" w:ascii="仿宋_GB2312" w:hAnsi="仿宋_GB2312" w:eastAsia="仿宋_GB2312" w:cs="仿宋_GB2312"/>
                <w:sz w:val="24"/>
                <w:szCs w:val="24"/>
                <w:highlight w:val="none"/>
              </w:rPr>
              <w:t>申请受理</w:t>
            </w:r>
          </w:p>
        </w:tc>
        <w:tc>
          <w:tcPr>
            <w:tcW w:w="2205" w:type="dxa"/>
            <w:vAlign w:val="center"/>
          </w:tcPr>
          <w:p>
            <w:pPr>
              <w:pStyle w:val="2"/>
              <w:pageBreakBefore w:val="0"/>
              <w:numPr>
                <w:ilvl w:val="-1"/>
                <w:numId w:val="0"/>
              </w:numPr>
              <w:kinsoku/>
              <w:wordWrap/>
              <w:overflowPunct/>
              <w:topLinePunct w:val="0"/>
              <w:autoSpaceDE/>
              <w:autoSpaceDN/>
              <w:bidi w:val="0"/>
              <w:spacing w:after="0" w:line="560" w:lineRule="exact"/>
              <w:jc w:val="center"/>
              <w:rPr>
                <w:rFonts w:hint="eastAsia" w:ascii="仿宋_GB2312" w:hAnsi="仿宋_GB2312" w:cs="仿宋_GB2312"/>
                <w:sz w:val="24"/>
                <w:szCs w:val="24"/>
                <w:vertAlign w:val="baseline"/>
                <w:lang w:eastAsia="zh-CN"/>
              </w:rPr>
            </w:pPr>
            <w:r>
              <w:rPr>
                <w:rFonts w:hint="eastAsia" w:ascii="仿宋_GB2312" w:hAnsi="仿宋_GB2312" w:cs="仿宋_GB2312"/>
                <w:sz w:val="24"/>
                <w:szCs w:val="24"/>
                <w:vertAlign w:val="baseline"/>
                <w:lang w:eastAsia="zh-CN"/>
              </w:rPr>
              <w:t>每项最高</w:t>
            </w:r>
            <w:r>
              <w:rPr>
                <w:rFonts w:hint="eastAsia" w:ascii="仿宋_GB2312" w:hAnsi="仿宋_GB2312" w:cs="仿宋_GB2312"/>
                <w:sz w:val="24"/>
                <w:szCs w:val="24"/>
                <w:vertAlign w:val="baseline"/>
                <w:lang w:val="en-US" w:eastAsia="zh-CN"/>
              </w:rPr>
              <w:t>500万元</w:t>
            </w:r>
          </w:p>
        </w:tc>
        <w:tc>
          <w:tcPr>
            <w:tcW w:w="2280" w:type="dxa"/>
            <w:vAlign w:val="center"/>
          </w:tcPr>
          <w:p>
            <w:pPr>
              <w:pStyle w:val="2"/>
              <w:pageBreakBefore w:val="0"/>
              <w:numPr>
                <w:ilvl w:val="-1"/>
                <w:numId w:val="0"/>
              </w:numPr>
              <w:kinsoku/>
              <w:wordWrap/>
              <w:overflowPunct/>
              <w:topLinePunct w:val="0"/>
              <w:autoSpaceDE/>
              <w:autoSpaceDN/>
              <w:bidi w:val="0"/>
              <w:spacing w:after="0" w:line="560" w:lineRule="exact"/>
              <w:jc w:val="center"/>
              <w:rPr>
                <w:rFonts w:hint="eastAsia" w:ascii="仿宋_GB2312" w:hAnsi="仿宋_GB2312" w:cs="仿宋_GB2312"/>
                <w:sz w:val="24"/>
                <w:szCs w:val="24"/>
                <w:vertAlign w:val="baseline"/>
                <w:lang w:eastAsia="zh-CN"/>
              </w:rPr>
            </w:pPr>
            <w:r>
              <w:rPr>
                <w:rFonts w:hint="eastAsia" w:ascii="仿宋_GB2312" w:hAnsi="仿宋_GB2312" w:cs="仿宋_GB2312"/>
                <w:sz w:val="24"/>
                <w:szCs w:val="24"/>
                <w:vertAlign w:val="baseline"/>
                <w:lang w:eastAsia="zh-CN"/>
              </w:rPr>
              <w:t>每项最高</w:t>
            </w:r>
            <w:r>
              <w:rPr>
                <w:rFonts w:hint="eastAsia" w:ascii="仿宋_GB2312" w:hAnsi="仿宋_GB2312" w:cs="仿宋_GB2312"/>
                <w:sz w:val="24"/>
                <w:szCs w:val="24"/>
                <w:vertAlign w:val="baseline"/>
                <w:lang w:val="en-US" w:eastAsia="zh-CN"/>
              </w:rPr>
              <w:t>300万元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7" w:type="dxa"/>
          </w:tcPr>
          <w:p>
            <w:pPr>
              <w:pStyle w:val="2"/>
              <w:pageBreakBefore w:val="0"/>
              <w:numPr>
                <w:ilvl w:val="-1"/>
                <w:numId w:val="0"/>
              </w:numPr>
              <w:kinsoku/>
              <w:wordWrap/>
              <w:overflowPunct/>
              <w:topLinePunct w:val="0"/>
              <w:autoSpaceDE/>
              <w:autoSpaceDN/>
              <w:bidi w:val="0"/>
              <w:spacing w:after="0" w:line="560" w:lineRule="exact"/>
              <w:rPr>
                <w:rFonts w:hint="eastAsia" w:ascii="仿宋_GB2312" w:hAnsi="仿宋_GB2312" w:cs="仿宋_GB2312"/>
                <w:sz w:val="24"/>
                <w:szCs w:val="24"/>
                <w:vertAlign w:val="baseline"/>
                <w:lang w:eastAsia="zh-CN"/>
              </w:rPr>
            </w:pPr>
            <w:r>
              <w:rPr>
                <w:rFonts w:hint="eastAsia" w:ascii="仿宋_GB2312" w:hAnsi="仿宋_GB2312" w:cs="仿宋_GB2312"/>
                <w:sz w:val="24"/>
                <w:szCs w:val="24"/>
                <w:highlight w:val="none"/>
                <w:lang w:eastAsia="zh-CN"/>
              </w:rPr>
              <w:t>完成</w:t>
            </w:r>
            <w:r>
              <w:rPr>
                <w:rFonts w:hint="eastAsia" w:ascii="仿宋_GB2312" w:hAnsi="仿宋_GB2312" w:eastAsia="仿宋_GB2312" w:cs="仿宋_GB2312"/>
                <w:sz w:val="24"/>
                <w:szCs w:val="24"/>
                <w:highlight w:val="none"/>
              </w:rPr>
              <w:t>III</w:t>
            </w:r>
            <w:r>
              <w:rPr>
                <w:rFonts w:hint="eastAsia" w:ascii="仿宋_GB2312" w:hAnsi="仿宋_GB2312" w:cs="仿宋_GB2312"/>
                <w:sz w:val="24"/>
                <w:szCs w:val="24"/>
                <w:highlight w:val="none"/>
                <w:lang w:eastAsia="zh-CN"/>
              </w:rPr>
              <w:t>期临床试验，并获得</w:t>
            </w:r>
            <w:r>
              <w:rPr>
                <w:rFonts w:hint="eastAsia" w:ascii="仿宋_GB2312" w:hAnsi="仿宋_GB2312" w:eastAsia="仿宋_GB2312" w:cs="仿宋_GB2312"/>
                <w:sz w:val="24"/>
                <w:szCs w:val="24"/>
                <w:highlight w:val="none"/>
              </w:rPr>
              <w:t>药品注册</w:t>
            </w:r>
            <w:r>
              <w:rPr>
                <w:rFonts w:hint="eastAsia" w:ascii="仿宋_GB2312" w:hAnsi="仿宋_GB2312" w:cs="仿宋_GB2312"/>
                <w:sz w:val="24"/>
                <w:szCs w:val="24"/>
                <w:highlight w:val="none"/>
                <w:lang w:eastAsia="zh-CN"/>
              </w:rPr>
              <w:t>上市</w:t>
            </w:r>
            <w:r>
              <w:rPr>
                <w:rFonts w:hint="eastAsia" w:ascii="仿宋_GB2312" w:hAnsi="仿宋_GB2312" w:eastAsia="仿宋_GB2312" w:cs="仿宋_GB2312"/>
                <w:sz w:val="24"/>
                <w:szCs w:val="24"/>
                <w:highlight w:val="none"/>
              </w:rPr>
              <w:t>申请受理</w:t>
            </w:r>
          </w:p>
        </w:tc>
        <w:tc>
          <w:tcPr>
            <w:tcW w:w="2205" w:type="dxa"/>
            <w:vAlign w:val="center"/>
          </w:tcPr>
          <w:p>
            <w:pPr>
              <w:pStyle w:val="2"/>
              <w:pageBreakBefore w:val="0"/>
              <w:numPr>
                <w:ilvl w:val="-1"/>
                <w:numId w:val="0"/>
              </w:numPr>
              <w:kinsoku/>
              <w:wordWrap/>
              <w:overflowPunct/>
              <w:topLinePunct w:val="0"/>
              <w:autoSpaceDE/>
              <w:autoSpaceDN/>
              <w:bidi w:val="0"/>
              <w:spacing w:after="0" w:line="560" w:lineRule="exact"/>
              <w:jc w:val="center"/>
              <w:rPr>
                <w:rFonts w:hint="eastAsia" w:ascii="仿宋_GB2312" w:hAnsi="仿宋_GB2312" w:cs="仿宋_GB2312"/>
                <w:sz w:val="24"/>
                <w:szCs w:val="24"/>
                <w:vertAlign w:val="baseline"/>
                <w:lang w:eastAsia="zh-CN"/>
              </w:rPr>
            </w:pPr>
            <w:r>
              <w:rPr>
                <w:rFonts w:hint="eastAsia" w:ascii="仿宋_GB2312" w:hAnsi="仿宋_GB2312" w:cs="仿宋_GB2312"/>
                <w:sz w:val="24"/>
                <w:szCs w:val="24"/>
                <w:vertAlign w:val="baseline"/>
                <w:lang w:eastAsia="zh-CN"/>
              </w:rPr>
              <w:t>每项最高</w:t>
            </w:r>
            <w:r>
              <w:rPr>
                <w:rFonts w:hint="eastAsia" w:ascii="仿宋_GB2312" w:hAnsi="仿宋_GB2312" w:cs="仿宋_GB2312"/>
                <w:sz w:val="24"/>
                <w:szCs w:val="24"/>
                <w:vertAlign w:val="baseline"/>
                <w:lang w:val="en-US" w:eastAsia="zh-CN"/>
              </w:rPr>
              <w:t>800万元</w:t>
            </w:r>
          </w:p>
        </w:tc>
        <w:tc>
          <w:tcPr>
            <w:tcW w:w="2280" w:type="dxa"/>
            <w:vAlign w:val="center"/>
          </w:tcPr>
          <w:p>
            <w:pPr>
              <w:pStyle w:val="2"/>
              <w:pageBreakBefore w:val="0"/>
              <w:numPr>
                <w:ilvl w:val="-1"/>
                <w:numId w:val="0"/>
              </w:numPr>
              <w:kinsoku/>
              <w:wordWrap/>
              <w:overflowPunct/>
              <w:topLinePunct w:val="0"/>
              <w:autoSpaceDE/>
              <w:autoSpaceDN/>
              <w:bidi w:val="0"/>
              <w:spacing w:after="0" w:line="560" w:lineRule="exact"/>
              <w:jc w:val="center"/>
              <w:rPr>
                <w:rFonts w:hint="eastAsia" w:ascii="仿宋_GB2312" w:hAnsi="仿宋_GB2312" w:cs="仿宋_GB2312"/>
                <w:sz w:val="24"/>
                <w:szCs w:val="24"/>
                <w:vertAlign w:val="baseline"/>
                <w:lang w:eastAsia="zh-CN"/>
              </w:rPr>
            </w:pPr>
            <w:r>
              <w:rPr>
                <w:rFonts w:hint="eastAsia" w:ascii="仿宋_GB2312" w:hAnsi="仿宋_GB2312" w:cs="仿宋_GB2312"/>
                <w:sz w:val="24"/>
                <w:szCs w:val="24"/>
                <w:vertAlign w:val="baseline"/>
                <w:lang w:eastAsia="zh-CN"/>
              </w:rPr>
              <w:t>每项最高</w:t>
            </w:r>
            <w:r>
              <w:rPr>
                <w:rFonts w:hint="eastAsia" w:ascii="仿宋_GB2312" w:hAnsi="仿宋_GB2312" w:cs="仿宋_GB2312"/>
                <w:sz w:val="24"/>
                <w:szCs w:val="24"/>
                <w:vertAlign w:val="baseline"/>
                <w:lang w:val="en-US" w:eastAsia="zh-CN"/>
              </w:rPr>
              <w:t>600万元</w:t>
            </w:r>
          </w:p>
        </w:tc>
      </w:tr>
    </w:tbl>
    <w:p>
      <w:pPr>
        <w:pageBreakBefore w:val="0"/>
        <w:widowControl/>
        <w:kinsoku/>
        <w:wordWrap/>
        <w:overflowPunct/>
        <w:topLinePunct w:val="0"/>
        <w:autoSpaceDE/>
        <w:autoSpaceDN/>
        <w:bidi w:val="0"/>
        <w:spacing w:line="560" w:lineRule="exact"/>
        <w:ind w:firstLine="537" w:firstLineChars="168"/>
        <w:outlineLvl w:val="0"/>
        <w:rPr>
          <w:rFonts w:hAnsi="Times New Roman" w:eastAsia="黑体"/>
          <w:sz w:val="32"/>
          <w:szCs w:val="32"/>
        </w:rPr>
      </w:pPr>
      <w:r>
        <w:rPr>
          <w:rFonts w:hint="default" w:hAnsi="Times New Roman" w:eastAsia="黑体"/>
          <w:sz w:val="32"/>
          <w:szCs w:val="32"/>
          <w:lang w:eastAsia="zh-CN"/>
        </w:rPr>
        <w:t>四</w:t>
      </w:r>
      <w:r>
        <w:rPr>
          <w:rFonts w:hint="default" w:hAnsi="Times New Roman" w:eastAsia="黑体"/>
          <w:sz w:val="32"/>
          <w:szCs w:val="32"/>
        </w:rPr>
        <w:t>、申请条件</w:t>
      </w:r>
    </w:p>
    <w:p>
      <w:pPr>
        <w:pageBreakBefore w:val="0"/>
        <w:widowControl/>
        <w:kinsoku/>
        <w:wordWrap/>
        <w:overflowPunct/>
        <w:topLinePunct w:val="0"/>
        <w:autoSpaceDE/>
        <w:autoSpaceDN/>
        <w:bidi w:val="0"/>
        <w:spacing w:line="560" w:lineRule="exact"/>
        <w:ind w:firstLine="537" w:firstLineChars="168"/>
        <w:rPr>
          <w:rFonts w:hint="eastAsia"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lang w:eastAsia="zh-CN"/>
        </w:rPr>
        <w:t>（一）</w:t>
      </w:r>
      <w:r>
        <w:rPr>
          <w:rFonts w:hint="eastAsia" w:ascii="楷体_GB2312" w:hAnsi="楷体_GB2312" w:eastAsia="楷体_GB2312" w:cs="楷体_GB2312"/>
          <w:bCs/>
          <w:color w:val="000000"/>
          <w:sz w:val="32"/>
          <w:szCs w:val="32"/>
        </w:rPr>
        <w:t>申请本项资金资助的机构应符合以下基本条件：</w:t>
      </w:r>
    </w:p>
    <w:p>
      <w:pPr>
        <w:pageBreakBefore w:val="0"/>
        <w:widowControl/>
        <w:kinsoku/>
        <w:wordWrap/>
        <w:overflowPunct/>
        <w:topLinePunct w:val="0"/>
        <w:autoSpaceDE/>
        <w:autoSpaceDN/>
        <w:bidi w:val="0"/>
        <w:spacing w:line="560" w:lineRule="exact"/>
        <w:ind w:firstLine="537" w:firstLineChars="168"/>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1.在南山区依法从事实际经营，并具有独立法人资格的企业；</w:t>
      </w:r>
    </w:p>
    <w:p>
      <w:pPr>
        <w:pageBreakBefore w:val="0"/>
        <w:widowControl/>
        <w:kinsoku/>
        <w:wordWrap/>
        <w:overflowPunct/>
        <w:topLinePunct w:val="0"/>
        <w:autoSpaceDE/>
        <w:autoSpaceDN/>
        <w:bidi w:val="0"/>
        <w:spacing w:line="560" w:lineRule="exact"/>
        <w:ind w:firstLine="537" w:firstLineChars="168"/>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2.履行相关数据申报义务、守法经营、诚实守信、有规范的财务管理制度；</w:t>
      </w:r>
    </w:p>
    <w:p>
      <w:pPr>
        <w:pageBreakBefore w:val="0"/>
        <w:widowControl/>
        <w:kinsoku/>
        <w:wordWrap/>
        <w:overflowPunct/>
        <w:topLinePunct w:val="0"/>
        <w:autoSpaceDE/>
        <w:autoSpaceDN/>
        <w:bidi w:val="0"/>
        <w:spacing w:line="560" w:lineRule="exact"/>
        <w:ind w:firstLine="537" w:firstLineChars="168"/>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3.应积极配合区委、区政府相关工作。</w:t>
      </w:r>
    </w:p>
    <w:p>
      <w:pPr>
        <w:pageBreakBefore w:val="0"/>
        <w:widowControl/>
        <w:numPr>
          <w:ilvl w:val="-1"/>
          <w:numId w:val="0"/>
        </w:numPr>
        <w:kinsoku/>
        <w:wordWrap/>
        <w:overflowPunct/>
        <w:topLinePunct w:val="0"/>
        <w:autoSpaceDE/>
        <w:autoSpaceDN/>
        <w:bidi w:val="0"/>
        <w:adjustRightInd w:val="0"/>
        <w:snapToGrid w:val="0"/>
        <w:spacing w:line="560" w:lineRule="exact"/>
        <w:ind w:firstLine="640" w:firstLineChars="200"/>
        <w:outlineLvl w:val="9"/>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（二）其他条件：</w:t>
      </w:r>
    </w:p>
    <w:p>
      <w:pPr>
        <w:pageBreakBefore w:val="0"/>
        <w:widowControl/>
        <w:numPr>
          <w:ilvl w:val="-1"/>
          <w:numId w:val="0"/>
        </w:numPr>
        <w:kinsoku/>
        <w:wordWrap/>
        <w:overflowPunct/>
        <w:topLinePunct w:val="0"/>
        <w:autoSpaceDE/>
        <w:autoSpaceDN/>
        <w:bidi w:val="0"/>
        <w:adjustRightInd w:val="0"/>
        <w:snapToGrid w:val="0"/>
        <w:spacing w:line="560" w:lineRule="exact"/>
        <w:ind w:firstLine="640" w:firstLineChars="200"/>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开展新药研制临床试验的企业，</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并于</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2024年1月1日至2024年12月31日</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期间</w:t>
      </w:r>
      <w:r>
        <w:rPr>
          <w:rFonts w:hint="eastAsia" w:ascii="仿宋_GB2312" w:hAnsi="仿宋_GB2312" w:eastAsia="仿宋_GB2312" w:cs="仿宋_GB2312"/>
          <w:sz w:val="32"/>
          <w:szCs w:val="32"/>
          <w:highlight w:val="none"/>
          <w:lang w:eastAsia="zh-CN"/>
        </w:rPr>
        <w:t>完成临床前、临床I、II或III期研究的项目。以临床试验通知书或药品注册申请受理通知书落款时间作为前一阶段研究完成时间</w:t>
      </w:r>
      <w:r>
        <w:rPr>
          <w:rFonts w:hint="eastAsia" w:ascii="仿宋_GB2312" w:hAnsi="仿宋_GB2312" w:eastAsia="仿宋_GB2312" w:cs="仿宋_GB2312"/>
          <w:sz w:val="32"/>
          <w:szCs w:val="32"/>
          <w:highlight w:val="none"/>
          <w:lang w:val="en-US" w:eastAsia="zh-CN"/>
        </w:rPr>
        <w:t>;</w:t>
      </w:r>
    </w:p>
    <w:p>
      <w:pPr>
        <w:pageBreakBefore w:val="0"/>
        <w:widowControl/>
        <w:numPr>
          <w:ilvl w:val="-1"/>
          <w:numId w:val="0"/>
        </w:numPr>
        <w:kinsoku/>
        <w:wordWrap/>
        <w:overflowPunct/>
        <w:topLinePunct w:val="0"/>
        <w:autoSpaceDE/>
        <w:autoSpaceDN/>
        <w:bidi w:val="0"/>
        <w:adjustRightInd w:val="0"/>
        <w:snapToGrid w:val="0"/>
        <w:spacing w:line="560" w:lineRule="exact"/>
        <w:ind w:firstLine="640" w:firstLineChars="200"/>
        <w:outlineLvl w:val="9"/>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向国家药监局申请临床试验涉及共同申请单位的，须第一单位申请此补助；</w:t>
      </w:r>
    </w:p>
    <w:p>
      <w:pPr>
        <w:pageBreakBefore w:val="0"/>
        <w:widowControl/>
        <w:numPr>
          <w:ilvl w:val="-1"/>
          <w:numId w:val="0"/>
        </w:numPr>
        <w:kinsoku/>
        <w:wordWrap/>
        <w:overflowPunct/>
        <w:topLinePunct w:val="0"/>
        <w:autoSpaceDE/>
        <w:autoSpaceDN/>
        <w:bidi w:val="0"/>
        <w:adjustRightInd w:val="0"/>
        <w:snapToGrid w:val="0"/>
        <w:spacing w:line="560" w:lineRule="exact"/>
        <w:ind w:firstLine="640" w:firstLineChars="200"/>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3.本</w:t>
      </w:r>
      <w:r>
        <w:rPr>
          <w:rFonts w:hint="eastAsia" w:ascii="仿宋_GB2312" w:hAnsi="仿宋_GB2312" w:eastAsia="仿宋_GB2312" w:cs="仿宋_GB2312"/>
          <w:sz w:val="32"/>
          <w:szCs w:val="32"/>
          <w:highlight w:val="none"/>
          <w:lang w:eastAsia="zh-CN"/>
        </w:rPr>
        <w:t>项目资助的药品要求最终上市许可持有人为南山区企业。</w:t>
      </w:r>
    </w:p>
    <w:p>
      <w:pPr>
        <w:pStyle w:val="2"/>
        <w:keepNext w:val="0"/>
        <w:keepLines w:val="0"/>
        <w:pageBreakBefore w:val="0"/>
        <w:kinsoku/>
        <w:wordWrap/>
        <w:overflowPunct/>
        <w:topLinePunct w:val="0"/>
        <w:autoSpaceDE/>
        <w:autoSpaceDN/>
        <w:bidi w:val="0"/>
        <w:spacing w:after="0" w:line="560" w:lineRule="exact"/>
        <w:ind w:firstLine="640" w:firstLineChars="200"/>
        <w:rPr>
          <w:rFonts w:hint="eastAsia" w:ascii="楷体_GB2312" w:hAnsi="楷体_GB2312" w:eastAsia="楷体_GB2312" w:cs="楷体_GB2312"/>
          <w:bCs/>
          <w:color w:val="000000"/>
          <w:sz w:val="32"/>
          <w:szCs w:val="32"/>
          <w:highlight w:val="none"/>
        </w:rPr>
      </w:pPr>
      <w:r>
        <w:rPr>
          <w:rFonts w:hint="eastAsia" w:ascii="楷体_GB2312" w:hAnsi="楷体_GB2312" w:eastAsia="楷体_GB2312" w:cs="楷体_GB2312"/>
          <w:bCs/>
          <w:color w:val="000000"/>
          <w:sz w:val="32"/>
          <w:szCs w:val="32"/>
          <w:highlight w:val="none"/>
        </w:rPr>
        <w:t>（</w:t>
      </w:r>
      <w:r>
        <w:rPr>
          <w:rFonts w:hint="eastAsia" w:ascii="楷体_GB2312" w:hAnsi="楷体_GB2312" w:eastAsia="楷体_GB2312" w:cs="楷体_GB2312"/>
          <w:bCs/>
          <w:color w:val="000000"/>
          <w:sz w:val="32"/>
          <w:szCs w:val="32"/>
          <w:highlight w:val="none"/>
          <w:lang w:val="en-US" w:eastAsia="zh-CN"/>
        </w:rPr>
        <w:t>三</w:t>
      </w:r>
      <w:r>
        <w:rPr>
          <w:rFonts w:hint="eastAsia" w:ascii="楷体_GB2312" w:hAnsi="楷体_GB2312" w:eastAsia="楷体_GB2312" w:cs="楷体_GB2312"/>
          <w:bCs/>
          <w:color w:val="000000"/>
          <w:sz w:val="32"/>
          <w:szCs w:val="32"/>
          <w:highlight w:val="none"/>
        </w:rPr>
        <w:t>）有下列情况之一的，本</w:t>
      </w:r>
      <w:r>
        <w:rPr>
          <w:rFonts w:hint="eastAsia" w:ascii="楷体_GB2312" w:hAnsi="楷体_GB2312" w:eastAsia="楷体_GB2312" w:cs="楷体_GB2312"/>
          <w:bCs/>
          <w:color w:val="000000"/>
          <w:sz w:val="32"/>
          <w:szCs w:val="32"/>
          <w:highlight w:val="none"/>
          <w:lang w:eastAsia="zh-CN"/>
        </w:rPr>
        <w:t>项目</w:t>
      </w:r>
      <w:r>
        <w:rPr>
          <w:rFonts w:hint="eastAsia" w:ascii="楷体_GB2312" w:hAnsi="楷体_GB2312" w:eastAsia="楷体_GB2312" w:cs="楷体_GB2312"/>
          <w:bCs/>
          <w:color w:val="000000"/>
          <w:sz w:val="32"/>
          <w:szCs w:val="32"/>
          <w:highlight w:val="none"/>
        </w:rPr>
        <w:t>资金不予资助：</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被依法依规纳入严重失信主体名单或失信惩戒措施清单的</w:t>
      </w:r>
      <w:r>
        <w:rPr>
          <w:rFonts w:hint="eastAsia" w:ascii="仿宋_GB2312" w:hAnsi="仿宋_GB2312" w:eastAsia="仿宋_GB2312" w:cs="仿宋_GB2312"/>
          <w:sz w:val="32"/>
          <w:szCs w:val="32"/>
          <w:highlight w:val="none"/>
          <w:lang w:eastAsia="zh-CN"/>
        </w:rPr>
        <w:t>；</w:t>
      </w:r>
    </w:p>
    <w:p>
      <w:pPr>
        <w:pageBreakBefore w:val="0"/>
        <w:kinsoku/>
        <w:wordWrap/>
        <w:overflowPunct/>
        <w:topLinePunct w:val="0"/>
        <w:autoSpaceDE/>
        <w:autoSpaceDN/>
        <w:bidi w:val="0"/>
        <w:adjustRightInd w:val="0"/>
        <w:snapToGrid w:val="0"/>
        <w:spacing w:line="56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提出资助申请后，申报主体项目实施地或数据申报地发生变化，不再符合申报条件的。</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Times New Roman" w:eastAsia="黑体"/>
          <w:sz w:val="32"/>
          <w:szCs w:val="32"/>
          <w:highlight w:val="none"/>
        </w:rPr>
      </w:pPr>
      <w:r>
        <w:rPr>
          <w:rFonts w:hint="default" w:ascii="Times New Roman" w:eastAsia="黑体"/>
          <w:sz w:val="32"/>
          <w:szCs w:val="32"/>
          <w:highlight w:val="none"/>
          <w:lang w:eastAsia="zh-CN"/>
        </w:rPr>
        <w:t>五</w:t>
      </w:r>
      <w:r>
        <w:rPr>
          <w:rFonts w:hint="default" w:ascii="Times New Roman" w:eastAsia="黑体"/>
          <w:sz w:val="32"/>
          <w:szCs w:val="32"/>
          <w:highlight w:val="none"/>
        </w:rPr>
        <w:t>、办理流程</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sz w:val="32"/>
          <w:szCs w:val="32"/>
          <w:highlight w:val="none"/>
          <w:lang w:eastAsia="zh-CN"/>
        </w:rPr>
        <w:t>登录“</w:t>
      </w:r>
      <w:r>
        <w:rPr>
          <w:rFonts w:hint="eastAsia" w:ascii="仿宋_GB2312" w:hAnsi="仿宋_GB2312" w:eastAsia="仿宋_GB2312" w:cs="仿宋_GB2312"/>
          <w:sz w:val="32"/>
          <w:szCs w:val="32"/>
          <w:highlight w:val="none"/>
          <w:lang w:val="en-US" w:eastAsia="zh-CN"/>
        </w:rPr>
        <w:t>A</w:t>
      </w:r>
      <w:r>
        <w:rPr>
          <w:rFonts w:hint="eastAsia" w:ascii="仿宋_GB2312" w:hAnsi="仿宋_GB2312" w:eastAsia="仿宋_GB2312" w:cs="仿宋_GB2312"/>
          <w:sz w:val="32"/>
          <w:szCs w:val="32"/>
          <w:highlight w:val="none"/>
          <w:lang w:eastAsia="zh-CN"/>
        </w:rPr>
        <w:t>i南山企业服务综合平台”（https://www.inanshan.org.cn/），在线填写《南山区促进产业高质量发展专项资金——</w:t>
      </w:r>
      <w:r>
        <w:rPr>
          <w:rFonts w:hint="eastAsia" w:ascii="仿宋_GB2312" w:hAnsi="仿宋_GB2312" w:eastAsia="仿宋_GB2312" w:cs="仿宋_GB2312"/>
          <w:sz w:val="32"/>
          <w:szCs w:val="32"/>
          <w:highlight w:val="none"/>
          <w:lang w:val="en-US" w:eastAsia="zh-CN"/>
        </w:rPr>
        <w:t>科技创新</w:t>
      </w:r>
      <w:r>
        <w:rPr>
          <w:rFonts w:hint="eastAsia" w:ascii="仿宋_GB2312" w:hAnsi="仿宋_GB2312" w:eastAsia="仿宋_GB2312" w:cs="仿宋_GB2312"/>
          <w:sz w:val="32"/>
          <w:szCs w:val="32"/>
          <w:highlight w:val="none"/>
          <w:lang w:eastAsia="zh-CN"/>
        </w:rPr>
        <w:t>分项资金</w:t>
      </w:r>
      <w:r>
        <w:rPr>
          <w:rFonts w:hint="eastAsia" w:ascii="仿宋_GB2312" w:hAnsi="仿宋_GB2312" w:eastAsia="仿宋_GB2312" w:cs="仿宋_GB2312"/>
          <w:sz w:val="32"/>
          <w:szCs w:val="32"/>
          <w:highlight w:val="none"/>
          <w:lang w:val="en-US" w:eastAsia="zh-CN"/>
        </w:rPr>
        <w:t>-新药创新能力提升支持计划申请书</w:t>
      </w:r>
      <w:r>
        <w:rPr>
          <w:rFonts w:hint="eastAsia" w:ascii="仿宋_GB2312" w:hAnsi="仿宋_GB2312" w:eastAsia="仿宋_GB2312" w:cs="仿宋_GB2312"/>
          <w:sz w:val="32"/>
          <w:szCs w:val="32"/>
          <w:highlight w:val="none"/>
          <w:lang w:eastAsia="zh-CN"/>
        </w:rPr>
        <w:t>》相关申报材料</w:t>
      </w:r>
      <w:r>
        <w:rPr>
          <w:rFonts w:hint="eastAsia" w:ascii="仿宋_GB2312" w:hAnsi="仿宋_GB2312" w:eastAsia="仿宋_GB2312" w:cs="仿宋_GB2312"/>
          <w:color w:val="auto"/>
          <w:kern w:val="2"/>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sz w:val="32"/>
          <w:szCs w:val="32"/>
          <w:highlight w:val="none"/>
          <w:lang w:eastAsia="zh-CN"/>
        </w:rPr>
        <w:t>区企业发展服务中心受理</w:t>
      </w:r>
      <w:r>
        <w:rPr>
          <w:rFonts w:hint="eastAsia" w:ascii="仿宋_GB2312" w:hAnsi="仿宋_GB2312" w:eastAsia="仿宋_GB2312" w:cs="仿宋_GB2312"/>
          <w:kern w:val="2"/>
          <w:sz w:val="32"/>
          <w:szCs w:val="32"/>
          <w:highlight w:val="none"/>
          <w:lang w:eastAsia="zh-CN"/>
        </w:rPr>
        <w:t>申请，对申报材料进行形式性审核</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区科技创新局</w:t>
      </w:r>
      <w:r>
        <w:rPr>
          <w:rFonts w:hint="eastAsia" w:ascii="仿宋_GB2312" w:hAnsi="仿宋_GB2312" w:eastAsia="仿宋_GB2312" w:cs="仿宋_GB2312"/>
          <w:sz w:val="32"/>
          <w:szCs w:val="32"/>
          <w:highlight w:val="none"/>
          <w:lang w:eastAsia="zh-CN"/>
        </w:rPr>
        <w:t>复审申报材料；</w:t>
      </w:r>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lang w:val="en-US" w:eastAsia="zh-CN"/>
        </w:rPr>
        <w:t>区科技创新局</w:t>
      </w:r>
      <w:r>
        <w:rPr>
          <w:rFonts w:hint="eastAsia" w:ascii="仿宋_GB2312" w:hAnsi="仿宋_GB2312" w:eastAsia="仿宋_GB2312" w:cs="仿宋_GB2312"/>
          <w:color w:val="auto"/>
          <w:kern w:val="2"/>
          <w:sz w:val="32"/>
          <w:szCs w:val="32"/>
          <w:highlight w:val="none"/>
          <w:lang w:val="en-US" w:eastAsia="zh-CN"/>
        </w:rPr>
        <w:t>拟定项目资助计划；</w:t>
      </w:r>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lang w:eastAsia="zh-CN"/>
        </w:rPr>
        <w:t>区统计局对申报主体数据申报情况进行核查，区企业发展服务中心组织对申报主体的在地经营情况、不良信用记录等情况进行核查；</w:t>
      </w:r>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lang w:eastAsia="zh-CN"/>
        </w:rPr>
        <w:t>区企业发展服务中心将拟资助项目向社会公示5个工作日，对公示期满，无有效投诉的项目资助计划，</w:t>
      </w:r>
      <w:r>
        <w:rPr>
          <w:rFonts w:hint="eastAsia" w:ascii="仿宋_GB2312" w:hAnsi="仿宋_GB2312" w:eastAsia="仿宋_GB2312" w:cs="仿宋_GB2312"/>
          <w:sz w:val="32"/>
          <w:szCs w:val="32"/>
          <w:highlight w:val="none"/>
          <w:lang w:val="en-US" w:eastAsia="zh-CN"/>
        </w:rPr>
        <w:t>区科技创新局</w:t>
      </w:r>
      <w:r>
        <w:rPr>
          <w:rFonts w:hint="eastAsia" w:ascii="仿宋_GB2312" w:hAnsi="仿宋_GB2312" w:eastAsia="仿宋_GB2312" w:cs="仿宋_GB2312"/>
          <w:sz w:val="32"/>
          <w:szCs w:val="32"/>
          <w:highlight w:val="none"/>
          <w:lang w:eastAsia="zh-CN"/>
        </w:rPr>
        <w:t>按照相应审核程序提交审议；</w:t>
      </w:r>
    </w:p>
    <w:p>
      <w:pPr>
        <w:keepNext w:val="0"/>
        <w:keepLines w:val="0"/>
        <w:pageBreakBefore w:val="0"/>
        <w:widowControl/>
        <w:kinsoku/>
        <w:wordWrap/>
        <w:overflowPunct/>
        <w:topLinePunct w:val="0"/>
        <w:autoSpaceDE/>
        <w:autoSpaceDN/>
        <w:bidi w:val="0"/>
        <w:spacing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六</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lang w:eastAsia="zh-CN"/>
        </w:rPr>
        <w:t>经审议后，由</w:t>
      </w:r>
      <w:r>
        <w:rPr>
          <w:rFonts w:hint="eastAsia" w:ascii="仿宋_GB2312" w:hAnsi="仿宋_GB2312" w:eastAsia="仿宋_GB2312" w:cs="仿宋_GB2312"/>
          <w:sz w:val="32"/>
          <w:szCs w:val="32"/>
          <w:highlight w:val="none"/>
          <w:lang w:val="en-US" w:eastAsia="zh-CN"/>
        </w:rPr>
        <w:t>区科技创新局行文</w:t>
      </w:r>
      <w:r>
        <w:rPr>
          <w:rFonts w:hint="eastAsia" w:ascii="仿宋_GB2312" w:hAnsi="仿宋_GB2312" w:eastAsia="仿宋_GB2312" w:cs="仿宋_GB2312"/>
          <w:sz w:val="32"/>
          <w:szCs w:val="32"/>
          <w:highlight w:val="none"/>
          <w:lang w:eastAsia="zh-CN"/>
        </w:rPr>
        <w:t>下达资金计划；</w:t>
      </w:r>
    </w:p>
    <w:p>
      <w:pPr>
        <w:pStyle w:val="14"/>
        <w:pageBreakBefore w:val="0"/>
        <w:kinsoku/>
        <w:wordWrap/>
        <w:overflowPunct/>
        <w:topLinePunct w:val="0"/>
        <w:autoSpaceDE/>
        <w:autoSpaceDN/>
        <w:bidi w:val="0"/>
        <w:spacing w:before="0" w:after="0" w:line="560" w:lineRule="exact"/>
        <w:ind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（七）申报主体线上提交加盖单位财务专用章的收据；</w:t>
      </w:r>
    </w:p>
    <w:p>
      <w:pPr>
        <w:pageBreakBefore w:val="0"/>
        <w:widowControl/>
        <w:kinsoku/>
        <w:wordWrap/>
        <w:overflowPunct/>
        <w:topLinePunct w:val="0"/>
        <w:autoSpaceDE/>
        <w:autoSpaceDN/>
        <w:bidi w:val="0"/>
        <w:spacing w:line="560" w:lineRule="exact"/>
        <w:ind w:firstLine="640" w:firstLineChars="200"/>
        <w:outlineLvl w:val="9"/>
        <w:rPr>
          <w:rFonts w:ascii="Times New Roman" w:hAnsi="Times New Roman" w:eastAsia="仿宋_GB2312"/>
          <w:sz w:val="32"/>
          <w:szCs w:val="32"/>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八</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lang w:eastAsia="zh-CN"/>
        </w:rPr>
        <w:t>区财政部门及时安排资金，</w:t>
      </w:r>
      <w:r>
        <w:rPr>
          <w:rFonts w:hint="eastAsia" w:ascii="仿宋_GB2312" w:hAnsi="仿宋_GB2312" w:eastAsia="仿宋_GB2312" w:cs="仿宋_GB2312"/>
          <w:sz w:val="32"/>
          <w:szCs w:val="32"/>
          <w:highlight w:val="none"/>
          <w:lang w:val="en-US" w:eastAsia="zh-CN"/>
        </w:rPr>
        <w:t>区科技创新局</w:t>
      </w:r>
      <w:r>
        <w:rPr>
          <w:rFonts w:hint="eastAsia" w:ascii="仿宋_GB2312" w:hAnsi="仿宋_GB2312" w:eastAsia="仿宋_GB2312" w:cs="仿宋_GB2312"/>
          <w:sz w:val="32"/>
          <w:szCs w:val="32"/>
          <w:highlight w:val="none"/>
          <w:lang w:eastAsia="zh-CN"/>
        </w:rPr>
        <w:t>对受理项目办理资金拨付手续。</w:t>
      </w:r>
    </w:p>
    <w:p>
      <w:pPr>
        <w:keepNext w:val="0"/>
        <w:keepLines w:val="0"/>
        <w:pageBreakBefore w:val="0"/>
        <w:kinsoku/>
        <w:wordWrap/>
        <w:overflowPunct/>
        <w:topLinePunct w:val="0"/>
        <w:autoSpaceDE/>
        <w:autoSpaceDN/>
        <w:bidi w:val="0"/>
        <w:spacing w:line="560" w:lineRule="exact"/>
        <w:ind w:firstLine="640" w:firstLineChars="200"/>
        <w:contextualSpacing/>
        <w:jc w:val="both"/>
        <w:textAlignment w:val="auto"/>
        <w:rPr>
          <w:rFonts w:ascii="Times New Roman" w:hAnsi="Times New Roman" w:eastAsia="黑体"/>
          <w:bCs/>
          <w:kern w:val="2"/>
          <w:sz w:val="32"/>
          <w:szCs w:val="32"/>
          <w:highlight w:val="none"/>
          <w:lang w:eastAsia="zh-CN" w:bidi="ar-SA"/>
        </w:rPr>
      </w:pPr>
      <w:r>
        <w:rPr>
          <w:rFonts w:hint="default" w:ascii="Times New Roman" w:hAnsi="Times New Roman" w:eastAsia="黑体"/>
          <w:bCs/>
          <w:kern w:val="2"/>
          <w:sz w:val="32"/>
          <w:szCs w:val="32"/>
          <w:highlight w:val="none"/>
          <w:lang w:eastAsia="zh-CN" w:bidi="ar-SA"/>
        </w:rPr>
        <w:t>六、所需材料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w:t>
      </w:r>
      <w:r>
        <w:rPr>
          <w:rFonts w:hint="eastAsia" w:ascii="仿宋_GB2312" w:hAnsi="ˎ̥" w:eastAsia="仿宋_GB2312" w:cs="宋体"/>
          <w:sz w:val="32"/>
          <w:szCs w:val="32"/>
          <w:highlight w:val="none"/>
          <w:lang w:eastAsia="zh-CN" w:bidi="ar-SA"/>
        </w:rPr>
        <w:t>《项目申请书》（登录“Ai南山企业服务综合平台”https://www.inanshan.org.cn/在线填写，法定代表人签字并加盖单位公章后，原件彩色扫描成PDF文件上传）</w:t>
      </w:r>
      <w:r>
        <w:rPr>
          <w:rFonts w:hint="default" w:ascii="Times New Roman" w:hAnsi="Times New Roman" w:eastAsia="仿宋_GB2312" w:cs="Times New Roman"/>
          <w:sz w:val="32"/>
          <w:szCs w:val="32"/>
          <w:lang w:eastAsia="zh-CN"/>
        </w:rPr>
        <w:t>；</w:t>
      </w:r>
    </w:p>
    <w:p>
      <w:pPr>
        <w:keepNext w:val="0"/>
        <w:keepLines w:val="0"/>
        <w:pageBreakBefore w:val="0"/>
        <w:kinsoku/>
        <w:wordWrap w:val="0"/>
        <w:overflowPunct w:val="0"/>
        <w:topLinePunct w:val="0"/>
        <w:autoSpaceDE/>
        <w:autoSpaceDN/>
        <w:bidi w:val="0"/>
        <w:adjustRightInd/>
        <w:snapToGrid/>
        <w:spacing w:line="560" w:lineRule="exact"/>
        <w:ind w:firstLine="640" w:firstLineChars="200"/>
        <w:textAlignment w:val="auto"/>
        <w:rPr>
          <w:rFonts w:hint="eastAsia" w:ascii="仿宋_GB2312" w:hAnsi="ˎ̥" w:eastAsia="仿宋_GB2312" w:cs="宋体"/>
          <w:sz w:val="32"/>
          <w:szCs w:val="32"/>
          <w:highlight w:val="none"/>
          <w:lang w:eastAsia="zh-CN" w:bidi="ar-SA"/>
        </w:rPr>
      </w:pPr>
      <w:r>
        <w:rPr>
          <w:rFonts w:hint="eastAsia" w:ascii="仿宋_GB2312" w:hAnsi="ˎ̥" w:eastAsia="仿宋_GB2312" w:cs="宋体"/>
          <w:sz w:val="32"/>
          <w:szCs w:val="32"/>
          <w:highlight w:val="none"/>
          <w:lang w:eastAsia="zh-CN" w:bidi="ar-SA"/>
        </w:rPr>
        <w:t>（二）统一社会信用代码证书（原件彩色扫描成PDF文件上传）；</w:t>
      </w:r>
    </w:p>
    <w:p>
      <w:pPr>
        <w:keepNext w:val="0"/>
        <w:keepLines w:val="0"/>
        <w:pageBreakBefore w:val="0"/>
        <w:kinsoku/>
        <w:wordWrap w:val="0"/>
        <w:overflowPunct w:val="0"/>
        <w:topLinePunct w:val="0"/>
        <w:autoSpaceDE/>
        <w:autoSpaceDN/>
        <w:bidi w:val="0"/>
        <w:adjustRightInd/>
        <w:snapToGrid/>
        <w:spacing w:line="560" w:lineRule="exact"/>
        <w:ind w:firstLine="640" w:firstLineChars="200"/>
        <w:textAlignment w:val="auto"/>
        <w:rPr>
          <w:rFonts w:hint="eastAsia" w:ascii="仿宋_GB2312" w:hAnsi="ˎ̥" w:eastAsia="仿宋_GB2312" w:cs="宋体"/>
          <w:sz w:val="32"/>
          <w:szCs w:val="32"/>
          <w:highlight w:val="none"/>
          <w:lang w:eastAsia="zh-CN" w:bidi="ar-SA"/>
        </w:rPr>
      </w:pPr>
      <w:r>
        <w:rPr>
          <w:rFonts w:hint="eastAsia" w:ascii="仿宋_GB2312" w:hAnsi="ˎ̥" w:eastAsia="仿宋_GB2312" w:cs="宋体"/>
          <w:sz w:val="32"/>
          <w:szCs w:val="32"/>
          <w:highlight w:val="none"/>
          <w:lang w:eastAsia="zh-CN" w:bidi="ar-SA"/>
        </w:rPr>
        <w:t>（三）法定代表人身份证[原件（或复印件加盖单位公章）彩色扫描成PDF文件上传]；</w:t>
      </w:r>
    </w:p>
    <w:p>
      <w:pPr>
        <w:keepNext w:val="0"/>
        <w:keepLines w:val="0"/>
        <w:pageBreakBefore w:val="0"/>
        <w:kinsoku/>
        <w:wordWrap w:val="0"/>
        <w:overflowPunct w:val="0"/>
        <w:topLinePunct w:val="0"/>
        <w:autoSpaceDE/>
        <w:autoSpaceDN/>
        <w:bidi w:val="0"/>
        <w:adjustRightInd/>
        <w:snapToGrid/>
        <w:spacing w:line="560" w:lineRule="exact"/>
        <w:ind w:firstLine="640" w:firstLineChars="200"/>
        <w:jc w:val="left"/>
        <w:textAlignment w:val="auto"/>
        <w:rPr>
          <w:rFonts w:hint="default" w:ascii="仿宋_GB2312" w:eastAsia="仿宋_GB2312"/>
          <w:strike/>
          <w:color w:val="auto"/>
          <w:sz w:val="32"/>
          <w:szCs w:val="32"/>
          <w:highlight w:val="none"/>
          <w:lang w:eastAsia="zh-CN"/>
        </w:rPr>
      </w:pPr>
      <w:r>
        <w:rPr>
          <w:rFonts w:hint="eastAsia" w:ascii="仿宋_GB2312" w:hAnsi="ˎ̥" w:eastAsia="仿宋_GB2312" w:cs="宋体"/>
          <w:sz w:val="32"/>
          <w:szCs w:val="32"/>
          <w:highlight w:val="none"/>
          <w:lang w:eastAsia="zh-CN" w:bidi="ar-SA"/>
        </w:rPr>
        <w:t>（四）申报主体由税务部门开具的单位上年度纳税证明（上传税务系统下载带有税务机关红色印章的电子版，事业单位除外)；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完成临床前研究并开展临床试验的，需提供I期临床试验通知书，在国家药品监督管理局药品审评中心官网药物临床试验登记与信息公示平台的证明，或其他有效证明材料（原件彩色扫描成PDF文件上传）</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完成I期临床的，需提供I期临床试验通知书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在国家药品监督管理局药品审评中心官网药物临床试验登记与信息公示平台的证明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I期临床总结报告或结束证明报告（可隐去敏感信息）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II期临床试验通知书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或其他有效证明材料（原件彩色扫描成PDF文件上传）</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完成II期临床的，需提供II期临床试验通知书，在国家药品监督管理局药品审评中心官网药物临床试验登记与信息公示平台的证明、II期临床总结报告或结束证明报告（可隐去敏感信息）、III期临床试验通知书或药品注册申请受理通知书，或其他有效证明材料（原件彩色扫描成PDF文件上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完成III期临床的，需提供III期临床试验通知书，在国家药品监督管理局药品审评中心官网药物临床试验登记与信息公示平台的证明、III期临床总结报告或结束证明报告（可隐去敏感信息）、</w:t>
      </w:r>
      <w:r>
        <w:rPr>
          <w:rFonts w:hint="eastAsia" w:ascii="仿宋_GB2312" w:hAnsi="仿宋_GB2312" w:eastAsia="仿宋_GB2312" w:cs="仿宋_GB2312"/>
          <w:sz w:val="32"/>
          <w:szCs w:val="32"/>
          <w:highlight w:val="none"/>
        </w:rPr>
        <w:t>药品注册申请受理通知书</w:t>
      </w:r>
      <w:r>
        <w:rPr>
          <w:rFonts w:hint="eastAsia" w:ascii="仿宋_GB2312" w:hAnsi="仿宋_GB2312" w:eastAsia="仿宋_GB2312" w:cs="仿宋_GB2312"/>
          <w:sz w:val="32"/>
          <w:szCs w:val="32"/>
        </w:rPr>
        <w:t>，或其他有效证明材料（原件彩色扫描成PDF文件上传）</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其他材料。</w:t>
      </w:r>
    </w:p>
    <w:p>
      <w:pPr>
        <w:pStyle w:val="8"/>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ascii="Times New Roman" w:hAnsi="Times New Roman" w:eastAsia="黑体" w:cs="Times New Roman"/>
          <w:kern w:val="2"/>
          <w:sz w:val="32"/>
          <w:szCs w:val="32"/>
          <w:highlight w:val="none"/>
        </w:rPr>
      </w:pPr>
      <w:r>
        <w:rPr>
          <w:rFonts w:hint="eastAsia" w:ascii="Times New Roman" w:hAnsi="黑体" w:eastAsia="黑体" w:cs="Times New Roman"/>
          <w:kern w:val="2"/>
          <w:sz w:val="32"/>
          <w:szCs w:val="32"/>
          <w:highlight w:val="none"/>
        </w:rPr>
        <w:t>七、时限要求</w:t>
      </w:r>
    </w:p>
    <w:p>
      <w:pPr>
        <w:pStyle w:val="8"/>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（一）区科技创新局</w:t>
      </w:r>
      <w:r>
        <w:rPr>
          <w:rFonts w:hint="eastAsia" w:ascii="仿宋_GB2312" w:hAnsi="仿宋_GB2312" w:eastAsia="仿宋_GB2312" w:cs="仿宋_GB2312"/>
          <w:sz w:val="32"/>
          <w:szCs w:val="32"/>
          <w:highlight w:val="none"/>
        </w:rPr>
        <w:t>视申请情况安排集中受理</w:t>
      </w:r>
      <w:r>
        <w:rPr>
          <w:rFonts w:hint="eastAsia" w:ascii="仿宋_GB2312" w:hAnsi="仿宋_GB2312" w:eastAsia="仿宋_GB2312" w:cs="仿宋_GB2312"/>
          <w:sz w:val="32"/>
          <w:szCs w:val="32"/>
          <w:highlight w:val="none"/>
          <w:lang w:val="en-US" w:eastAsia="zh-CN"/>
        </w:rPr>
        <w:t>申报主体</w:t>
      </w:r>
      <w:r>
        <w:rPr>
          <w:rFonts w:hint="eastAsia" w:ascii="仿宋_GB2312" w:hAnsi="仿宋_GB2312" w:eastAsia="仿宋_GB2312" w:cs="仿宋_GB2312"/>
          <w:sz w:val="32"/>
          <w:szCs w:val="32"/>
          <w:highlight w:val="none"/>
        </w:rPr>
        <w:t>申请，具体受理时间以发布的申报通知为准。</w:t>
      </w:r>
    </w:p>
    <w:p>
      <w:pPr>
        <w:pStyle w:val="8"/>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申报主体</w:t>
      </w:r>
      <w:r>
        <w:rPr>
          <w:rFonts w:hint="eastAsia" w:ascii="仿宋_GB2312" w:hAnsi="仿宋_GB2312" w:eastAsia="仿宋_GB2312" w:cs="仿宋_GB2312"/>
          <w:sz w:val="32"/>
          <w:szCs w:val="32"/>
          <w:highlight w:val="none"/>
          <w:lang w:eastAsia="zh-CN"/>
        </w:rPr>
        <w:t>须</w:t>
      </w:r>
      <w:r>
        <w:rPr>
          <w:rFonts w:hint="eastAsia" w:ascii="仿宋_GB2312" w:hAnsi="仿宋_GB2312" w:eastAsia="仿宋_GB2312" w:cs="仿宋_GB2312"/>
          <w:sz w:val="32"/>
          <w:szCs w:val="32"/>
          <w:highlight w:val="none"/>
        </w:rPr>
        <w:t>按照</w:t>
      </w:r>
      <w:r>
        <w:rPr>
          <w:rFonts w:hint="eastAsia" w:ascii="仿宋_GB2312" w:hAnsi="仿宋_GB2312" w:eastAsia="仿宋_GB2312" w:cs="仿宋_GB2312"/>
          <w:sz w:val="32"/>
          <w:szCs w:val="32"/>
          <w:highlight w:val="none"/>
          <w:lang w:eastAsia="zh-CN"/>
        </w:rPr>
        <w:t>区科技创新局</w:t>
      </w:r>
      <w:r>
        <w:rPr>
          <w:rFonts w:hint="eastAsia" w:ascii="仿宋_GB2312" w:hAnsi="仿宋_GB2312" w:eastAsia="仿宋_GB2312" w:cs="仿宋_GB2312"/>
          <w:sz w:val="32"/>
          <w:szCs w:val="32"/>
          <w:highlight w:val="none"/>
        </w:rPr>
        <w:t>相关通知要求</w:t>
      </w:r>
      <w:r>
        <w:rPr>
          <w:rFonts w:hint="eastAsia" w:ascii="仿宋_GB2312" w:hAnsi="仿宋_GB2312" w:eastAsia="仿宋_GB2312" w:cs="仿宋_GB2312"/>
          <w:sz w:val="32"/>
          <w:szCs w:val="32"/>
          <w:highlight w:val="none"/>
          <w:lang w:eastAsia="zh-CN"/>
        </w:rPr>
        <w:t>及时提交</w:t>
      </w:r>
      <w:r>
        <w:rPr>
          <w:rFonts w:hint="eastAsia" w:ascii="仿宋_GB2312" w:hAnsi="仿宋_GB2312" w:eastAsia="仿宋_GB2312" w:cs="仿宋_GB2312"/>
          <w:sz w:val="32"/>
          <w:szCs w:val="32"/>
          <w:highlight w:val="none"/>
        </w:rPr>
        <w:t>资金拨付</w:t>
      </w:r>
      <w:r>
        <w:rPr>
          <w:rFonts w:hint="eastAsia" w:ascii="仿宋_GB2312" w:hAnsi="仿宋_GB2312" w:eastAsia="仿宋_GB2312" w:cs="仿宋_GB2312"/>
          <w:sz w:val="32"/>
          <w:szCs w:val="32"/>
          <w:highlight w:val="none"/>
          <w:lang w:eastAsia="zh-CN"/>
        </w:rPr>
        <w:t>所需材料</w:t>
      </w:r>
      <w:r>
        <w:rPr>
          <w:rFonts w:hint="eastAsia" w:ascii="仿宋_GB2312" w:hAnsi="仿宋_GB2312" w:eastAsia="仿宋_GB2312" w:cs="仿宋_GB2312"/>
          <w:sz w:val="32"/>
          <w:szCs w:val="32"/>
          <w:highlight w:val="none"/>
        </w:rPr>
        <w:t>，逾期不办理者视为自动放弃。</w:t>
      </w:r>
    </w:p>
    <w:p>
      <w:pPr>
        <w:pStyle w:val="8"/>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ascii="Times New Roman" w:hAnsi="Times New Roman" w:eastAsia="黑体" w:cs="Times New Roman"/>
          <w:color w:val="000000"/>
          <w:kern w:val="2"/>
          <w:sz w:val="32"/>
          <w:szCs w:val="32"/>
          <w:highlight w:val="none"/>
        </w:rPr>
      </w:pPr>
      <w:r>
        <w:rPr>
          <w:rFonts w:hint="eastAsia" w:ascii="Times New Roman" w:hAnsi="黑体" w:eastAsia="黑体" w:cs="Times New Roman"/>
          <w:color w:val="000000"/>
          <w:kern w:val="2"/>
          <w:sz w:val="32"/>
          <w:szCs w:val="32"/>
          <w:highlight w:val="none"/>
        </w:rPr>
        <w:t>八、其他事项</w:t>
      </w:r>
    </w:p>
    <w:p>
      <w:pPr>
        <w:pageBreakBefore w:val="0"/>
        <w:numPr>
          <w:ilvl w:val="0"/>
          <w:numId w:val="0"/>
        </w:numPr>
        <w:kinsoku/>
        <w:wordWrap/>
        <w:overflowPunct/>
        <w:topLinePunct w:val="0"/>
        <w:autoSpaceDE/>
        <w:autoSpaceDN/>
        <w:bidi w:val="0"/>
        <w:spacing w:line="560" w:lineRule="exact"/>
        <w:ind w:left="0" w:leftChars="0" w:firstLine="640" w:firstLineChars="200"/>
        <w:rPr>
          <w:rFonts w:hint="eastAsia" w:ascii="仿宋_GB2312" w:hAnsi="黑体" w:eastAsia="仿宋_GB2312" w:cs="Times New Roman"/>
          <w:kern w:val="2"/>
          <w:sz w:val="32"/>
          <w:szCs w:val="32"/>
          <w:highlight w:val="none"/>
          <w:lang w:val="en-US" w:eastAsia="zh-CN" w:bidi="ar-SA"/>
        </w:rPr>
      </w:pPr>
      <w:r>
        <w:rPr>
          <w:rFonts w:hint="eastAsia" w:ascii="仿宋_GB2312" w:hAnsi="黑体" w:eastAsia="仿宋_GB2312" w:cs="Times New Roman"/>
          <w:kern w:val="2"/>
          <w:sz w:val="32"/>
          <w:szCs w:val="32"/>
          <w:highlight w:val="none"/>
          <w:lang w:val="en-US" w:eastAsia="zh-CN" w:bidi="ar-SA"/>
        </w:rPr>
        <w:t>（一）</w:t>
      </w:r>
      <w:r>
        <w:rPr>
          <w:rFonts w:hint="eastAsia" w:ascii="仿宋_GB2312" w:hAnsi="黑体" w:eastAsia="仿宋_GB2312"/>
          <w:sz w:val="32"/>
          <w:szCs w:val="32"/>
          <w:highlight w:val="none"/>
        </w:rPr>
        <w:t>本</w:t>
      </w:r>
      <w:r>
        <w:rPr>
          <w:rFonts w:hint="eastAsia" w:ascii="仿宋_GB2312" w:hAnsi="黑体" w:eastAsia="仿宋_GB2312"/>
          <w:sz w:val="32"/>
          <w:szCs w:val="32"/>
          <w:highlight w:val="none"/>
          <w:lang w:eastAsia="zh-CN"/>
        </w:rPr>
        <w:t>项目所依据的政策内容</w:t>
      </w:r>
      <w:r>
        <w:rPr>
          <w:rFonts w:hint="eastAsia" w:ascii="仿宋_GB2312" w:hAnsi="黑体" w:eastAsia="仿宋_GB2312"/>
          <w:sz w:val="32"/>
          <w:szCs w:val="32"/>
          <w:highlight w:val="none"/>
        </w:rPr>
        <w:t>执行期间如遇国家、省、市有关政策调整的，根据新政策做相应调整</w:t>
      </w:r>
      <w:r>
        <w:rPr>
          <w:rFonts w:hint="eastAsia" w:ascii="仿宋_GB2312" w:hAnsi="黑体" w:eastAsia="仿宋_GB2312" w:cs="Times New Roman"/>
          <w:kern w:val="2"/>
          <w:sz w:val="32"/>
          <w:szCs w:val="32"/>
          <w:highlight w:val="none"/>
          <w:lang w:val="en-US" w:eastAsia="zh-CN" w:bidi="ar-SA"/>
        </w:rPr>
        <w:t>。</w:t>
      </w:r>
    </w:p>
    <w:p>
      <w:pPr>
        <w:pStyle w:val="8"/>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ascii="Times New Roman" w:hAnsi="Times New Roman" w:eastAsia="仿宋_GB2312" w:cs="Times New Roman"/>
          <w:sz w:val="32"/>
          <w:szCs w:val="32"/>
          <w:highlight w:val="none"/>
        </w:rPr>
      </w:pPr>
      <w:r>
        <w:rPr>
          <w:rFonts w:hint="eastAsia" w:ascii="仿宋_GB2312" w:hAnsi="黑体" w:eastAsia="仿宋_GB2312" w:cs="Times New Roman"/>
          <w:kern w:val="2"/>
          <w:sz w:val="32"/>
          <w:szCs w:val="32"/>
          <w:highlight w:val="none"/>
          <w:lang w:val="en-US" w:eastAsia="zh-CN" w:bidi="ar-SA"/>
        </w:rPr>
        <w:t>（二）</w:t>
      </w:r>
      <w:r>
        <w:rPr>
          <w:rFonts w:hint="eastAsia" w:ascii="Times New Roman" w:hAnsi="Times New Roman" w:eastAsia="仿宋_GB2312" w:cs="Times New Roman"/>
          <w:kern w:val="2"/>
          <w:sz w:val="32"/>
          <w:szCs w:val="32"/>
          <w:highlight w:val="none"/>
        </w:rPr>
        <w:t>申请本项目资助的</w:t>
      </w:r>
      <w:r>
        <w:rPr>
          <w:rFonts w:hint="eastAsia" w:ascii="Times New Roman" w:hAnsi="Times New Roman" w:eastAsia="仿宋_GB2312" w:cs="Times New Roman"/>
          <w:kern w:val="2"/>
          <w:sz w:val="32"/>
          <w:szCs w:val="32"/>
          <w:highlight w:val="none"/>
          <w:lang w:eastAsia="zh-CN"/>
        </w:rPr>
        <w:t>主体</w:t>
      </w:r>
      <w:r>
        <w:rPr>
          <w:rFonts w:hint="eastAsia" w:ascii="Times New Roman" w:hAnsi="Times New Roman" w:eastAsia="仿宋_GB2312" w:cs="Times New Roman"/>
          <w:kern w:val="2"/>
          <w:sz w:val="32"/>
          <w:szCs w:val="32"/>
          <w:highlight w:val="none"/>
        </w:rPr>
        <w:t>应保证其申报材料的完整性、</w:t>
      </w:r>
      <w:r>
        <w:rPr>
          <w:rFonts w:hint="eastAsia" w:ascii="Times New Roman" w:hAnsi="Times New Roman" w:eastAsia="仿宋_GB2312" w:cs="Times New Roman"/>
          <w:sz w:val="32"/>
          <w:szCs w:val="32"/>
          <w:highlight w:val="none"/>
        </w:rPr>
        <w:t>真实性、</w:t>
      </w:r>
      <w:r>
        <w:rPr>
          <w:rFonts w:hint="eastAsia" w:ascii="Times New Roman" w:hAnsi="Times New Roman" w:eastAsia="仿宋_GB2312" w:cs="Times New Roman"/>
          <w:kern w:val="2"/>
          <w:sz w:val="32"/>
          <w:szCs w:val="32"/>
          <w:highlight w:val="none"/>
        </w:rPr>
        <w:t>准确性</w:t>
      </w:r>
      <w:r>
        <w:rPr>
          <w:rFonts w:hint="eastAsia" w:ascii="Times New Roman" w:hAnsi="Times New Roman" w:eastAsia="仿宋_GB2312" w:cs="Times New Roman"/>
          <w:sz w:val="32"/>
          <w:szCs w:val="32"/>
          <w:highlight w:val="none"/>
        </w:rPr>
        <w:t>及合法性</w:t>
      </w:r>
      <w:r>
        <w:rPr>
          <w:rFonts w:hint="eastAsia" w:ascii="Times New Roman" w:hAnsi="Times New Roman" w:eastAsia="仿宋_GB2312" w:cs="Times New Roman"/>
          <w:kern w:val="2"/>
          <w:sz w:val="32"/>
          <w:szCs w:val="32"/>
          <w:highlight w:val="none"/>
        </w:rPr>
        <w:t>，</w:t>
      </w:r>
      <w:r>
        <w:rPr>
          <w:rFonts w:hint="eastAsia" w:ascii="Times New Roman" w:hAnsi="Times New Roman" w:eastAsia="仿宋_GB2312" w:cs="Times New Roman"/>
          <w:sz w:val="32"/>
          <w:szCs w:val="32"/>
          <w:highlight w:val="none"/>
        </w:rPr>
        <w:t>并承担</w:t>
      </w:r>
      <w:r>
        <w:rPr>
          <w:rFonts w:hint="eastAsia" w:ascii="Times New Roman" w:hAnsi="Times New Roman" w:eastAsia="仿宋_GB2312" w:cs="Times New Roman"/>
          <w:sz w:val="32"/>
          <w:szCs w:val="32"/>
          <w:highlight w:val="none"/>
          <w:lang w:eastAsia="zh-CN"/>
        </w:rPr>
        <w:t>因其</w:t>
      </w:r>
      <w:r>
        <w:rPr>
          <w:rFonts w:hint="eastAsia" w:ascii="Times New Roman" w:hAnsi="Times New Roman" w:eastAsia="仿宋_GB2312" w:cs="Times New Roman"/>
          <w:sz w:val="32"/>
          <w:szCs w:val="32"/>
          <w:highlight w:val="none"/>
        </w:rPr>
        <w:t>提交的项目申报材料</w:t>
      </w:r>
      <w:r>
        <w:rPr>
          <w:rFonts w:hint="eastAsia" w:ascii="Times New Roman" w:hAnsi="Times New Roman" w:eastAsia="仿宋_GB2312" w:cs="Times New Roman"/>
          <w:sz w:val="32"/>
          <w:szCs w:val="32"/>
          <w:highlight w:val="none"/>
          <w:lang w:eastAsia="zh-CN"/>
        </w:rPr>
        <w:t>产生</w:t>
      </w:r>
      <w:r>
        <w:rPr>
          <w:rFonts w:hint="eastAsia" w:ascii="Times New Roman" w:hAnsi="Times New Roman" w:eastAsia="仿宋_GB2312" w:cs="Times New Roman"/>
          <w:sz w:val="32"/>
          <w:szCs w:val="32"/>
          <w:highlight w:val="none"/>
        </w:rPr>
        <w:t>的相关法律责任，如有虚假或侵权等行为，该项目申请无效，如事后发现存在以上行为，本资金主管部门将保留依法追究其法律责任的权利。</w:t>
      </w:r>
    </w:p>
    <w:p>
      <w:pPr>
        <w:pStyle w:val="8"/>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ascii="Times New Roman" w:hAnsi="Times New Roman" w:eastAsia="黑体" w:cs="Times New Roman"/>
          <w:color w:val="000000"/>
          <w:kern w:val="2"/>
          <w:sz w:val="32"/>
          <w:szCs w:val="32"/>
          <w:highlight w:val="none"/>
        </w:rPr>
      </w:pPr>
      <w:r>
        <w:rPr>
          <w:rFonts w:hint="eastAsia" w:ascii="Times New Roman" w:hAnsi="黑体" w:eastAsia="黑体" w:cs="Times New Roman"/>
          <w:color w:val="000000"/>
          <w:kern w:val="2"/>
          <w:sz w:val="32"/>
          <w:szCs w:val="32"/>
          <w:highlight w:val="none"/>
        </w:rPr>
        <w:t>九、附则</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highlight w:val="none"/>
          <w:lang w:val="en-US" w:eastAsia="zh-CN"/>
        </w:rPr>
      </w:pPr>
      <w:r>
        <w:rPr>
          <w:rFonts w:hint="eastAsia" w:ascii="仿宋_GB2312" w:hAnsi="仿宋_GB2312" w:eastAsia="仿宋_GB2312" w:cs="仿宋_GB2312"/>
          <w:kern w:val="2"/>
          <w:sz w:val="32"/>
          <w:szCs w:val="32"/>
          <w:highlight w:val="none"/>
        </w:rPr>
        <w:t>本项目责任部门为</w:t>
      </w:r>
      <w:r>
        <w:rPr>
          <w:rFonts w:hint="eastAsia" w:ascii="仿宋_GB2312" w:hAnsi="宋体" w:eastAsia="仿宋_GB2312"/>
          <w:sz w:val="32"/>
          <w:szCs w:val="32"/>
          <w:highlight w:val="none"/>
          <w:lang w:val="en-US" w:eastAsia="zh-CN"/>
        </w:rPr>
        <w:t>区科技创新局</w:t>
      </w:r>
      <w:r>
        <w:rPr>
          <w:rFonts w:hint="eastAsia" w:ascii="仿宋_GB2312" w:hAnsi="仿宋_GB2312" w:eastAsia="仿宋_GB2312" w:cs="仿宋_GB2312"/>
          <w:kern w:val="2"/>
          <w:sz w:val="32"/>
          <w:szCs w:val="32"/>
          <w:highlight w:val="none"/>
        </w:rPr>
        <w:t>，本</w:t>
      </w:r>
      <w:r>
        <w:rPr>
          <w:rFonts w:hint="eastAsia" w:ascii="仿宋_GB2312" w:hAnsi="仿宋_GB2312" w:eastAsia="仿宋_GB2312" w:cs="仿宋_GB2312"/>
          <w:kern w:val="2"/>
          <w:sz w:val="32"/>
          <w:szCs w:val="32"/>
          <w:highlight w:val="none"/>
          <w:lang w:eastAsia="zh-CN"/>
        </w:rPr>
        <w:t>操作</w:t>
      </w:r>
      <w:r>
        <w:rPr>
          <w:rFonts w:hint="eastAsia" w:ascii="仿宋_GB2312" w:hAnsi="仿宋_GB2312" w:eastAsia="仿宋_GB2312" w:cs="仿宋_GB2312"/>
          <w:kern w:val="2"/>
          <w:sz w:val="32"/>
          <w:szCs w:val="32"/>
          <w:highlight w:val="none"/>
        </w:rPr>
        <w:t>规程由</w:t>
      </w:r>
      <w:r>
        <w:rPr>
          <w:rFonts w:hint="eastAsia" w:ascii="仿宋_GB2312" w:hAnsi="宋体" w:eastAsia="仿宋_GB2312"/>
          <w:sz w:val="32"/>
          <w:szCs w:val="32"/>
          <w:highlight w:val="none"/>
          <w:lang w:val="en-US" w:eastAsia="zh-CN"/>
        </w:rPr>
        <w:t>区科技创新局</w:t>
      </w:r>
      <w:r>
        <w:rPr>
          <w:rFonts w:hint="eastAsia" w:ascii="仿宋_GB2312" w:hAnsi="仿宋_GB2312" w:eastAsia="仿宋_GB2312" w:cs="仿宋_GB2312"/>
          <w:kern w:val="2"/>
          <w:sz w:val="32"/>
          <w:szCs w:val="32"/>
          <w:highlight w:val="none"/>
        </w:rPr>
        <w:t>负责解释，自发布之日起施行。</w:t>
      </w:r>
    </w:p>
    <w:p>
      <w:pPr>
        <w:pageBreakBefore w:val="0"/>
        <w:kinsoku/>
        <w:wordWrap/>
        <w:overflowPunct/>
        <w:topLinePunct w:val="0"/>
        <w:autoSpaceDE/>
        <w:autoSpaceDN/>
        <w:bidi w:val="0"/>
        <w:spacing w:line="560" w:lineRule="exact"/>
      </w:pPr>
    </w:p>
    <w:sectPr>
      <w:footerReference r:id="rId3" w:type="default"/>
      <w:footerReference r:id="rId4" w:type="even"/>
      <w:pgSz w:w="11906" w:h="16838"/>
      <w:pgMar w:top="1984" w:right="1361" w:bottom="170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等线">
    <w:altName w:val="华文仿宋"/>
    <w:panose1 w:val="02010600030101010101"/>
    <w:charset w:val="86"/>
    <w:family w:val="roman"/>
    <w:pitch w:val="default"/>
    <w:sig w:usb0="00000000" w:usb1="00000000" w:usb2="00000016" w:usb3="00000000" w:csb0="0004000F"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ˎ̥">
    <w:altName w:val="华文仿宋"/>
    <w:panose1 w:val="00000000000000000000"/>
    <w:charset w:val="00"/>
    <w:family w:val="roman"/>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微软雅黑">
    <w:panose1 w:val="020B0503020204020204"/>
    <w:charset w:val="86"/>
    <w:family w:val="auto"/>
    <w:pitch w:val="default"/>
    <w:sig w:usb0="80000287" w:usb1="2A0F3C52" w:usb2="00000016" w:usb3="00000000" w:csb0="0004001F"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0E536C"/>
    <w:rsid w:val="34FCAB20"/>
    <w:rsid w:val="3AF75398"/>
    <w:rsid w:val="3E38C343"/>
    <w:rsid w:val="3F7B118C"/>
    <w:rsid w:val="3F970F01"/>
    <w:rsid w:val="3FFF2CB1"/>
    <w:rsid w:val="43DF63BF"/>
    <w:rsid w:val="52CBD42A"/>
    <w:rsid w:val="55CF3AEC"/>
    <w:rsid w:val="586F12FA"/>
    <w:rsid w:val="5F17B037"/>
    <w:rsid w:val="6CFBC9EA"/>
    <w:rsid w:val="6DEC0FFF"/>
    <w:rsid w:val="6F5F6A2D"/>
    <w:rsid w:val="6FF44F8E"/>
    <w:rsid w:val="72BDCAC7"/>
    <w:rsid w:val="736B1B84"/>
    <w:rsid w:val="75D3FF5E"/>
    <w:rsid w:val="75E71F41"/>
    <w:rsid w:val="76ACE928"/>
    <w:rsid w:val="777E04EB"/>
    <w:rsid w:val="77FF9E0D"/>
    <w:rsid w:val="78FD7FCA"/>
    <w:rsid w:val="7A9FDC93"/>
    <w:rsid w:val="7ABE3771"/>
    <w:rsid w:val="7ADBFA6C"/>
    <w:rsid w:val="7CBDDAFE"/>
    <w:rsid w:val="7DFB997C"/>
    <w:rsid w:val="7E9B31E3"/>
    <w:rsid w:val="7FF7B8B2"/>
    <w:rsid w:val="7FFA8EE9"/>
    <w:rsid w:val="7FFF59E2"/>
    <w:rsid w:val="9EAB5115"/>
    <w:rsid w:val="9FBF2E68"/>
    <w:rsid w:val="AC9F79A1"/>
    <w:rsid w:val="ADEF97A8"/>
    <w:rsid w:val="B1FD9D5C"/>
    <w:rsid w:val="B3E76B34"/>
    <w:rsid w:val="B733807D"/>
    <w:rsid w:val="BB6FDA3C"/>
    <w:rsid w:val="BDFBCF25"/>
    <w:rsid w:val="BEBB444C"/>
    <w:rsid w:val="BF3F4D0C"/>
    <w:rsid w:val="BFE03636"/>
    <w:rsid w:val="BFFF669C"/>
    <w:rsid w:val="CACD2E1D"/>
    <w:rsid w:val="CF554A1D"/>
    <w:rsid w:val="CF77F677"/>
    <w:rsid w:val="CFFDE804"/>
    <w:rsid w:val="D5DBA68D"/>
    <w:rsid w:val="D7FF932F"/>
    <w:rsid w:val="DBF78810"/>
    <w:rsid w:val="DE4E51DC"/>
    <w:rsid w:val="DFA6AD0B"/>
    <w:rsid w:val="DFFBE9E6"/>
    <w:rsid w:val="E2673042"/>
    <w:rsid w:val="E33E388E"/>
    <w:rsid w:val="E6BEA807"/>
    <w:rsid w:val="E937A721"/>
    <w:rsid w:val="EA9DB656"/>
    <w:rsid w:val="EBDE1AAC"/>
    <w:rsid w:val="ED9F62E8"/>
    <w:rsid w:val="EFEF5C95"/>
    <w:rsid w:val="F1DD9560"/>
    <w:rsid w:val="F3F2EE1D"/>
    <w:rsid w:val="F5EF80C5"/>
    <w:rsid w:val="F7F7E8E0"/>
    <w:rsid w:val="F7FF097A"/>
    <w:rsid w:val="FAF9D062"/>
    <w:rsid w:val="FBEF8CBB"/>
    <w:rsid w:val="FBF7C3B6"/>
    <w:rsid w:val="FDEB95DB"/>
    <w:rsid w:val="FDEFF9F4"/>
    <w:rsid w:val="FF57DB83"/>
    <w:rsid w:val="FF6F5D84"/>
    <w:rsid w:val="FF742810"/>
    <w:rsid w:val="FF7DA4BE"/>
    <w:rsid w:val="FFBE08E0"/>
    <w:rsid w:val="FFE238A2"/>
    <w:rsid w:val="FFEF01B7"/>
    <w:rsid w:val="FFF7CEE8"/>
    <w:rsid w:val="FFFF1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line="360" w:lineRule="auto"/>
      <w:jc w:val="center"/>
      <w:outlineLvl w:val="0"/>
    </w:pPr>
    <w:rPr>
      <w:rFonts w:eastAsia="黑体"/>
      <w:kern w:val="44"/>
      <w:sz w:val="44"/>
      <w:szCs w:val="44"/>
      <w:lang w:val="zh-CN"/>
    </w:rPr>
  </w:style>
  <w:style w:type="character" w:default="1" w:styleId="11">
    <w:name w:val="Default Paragraph Font"/>
    <w:qFormat/>
    <w:uiPriority w:val="0"/>
  </w:style>
  <w:style w:type="table" w:default="1" w:styleId="9">
    <w:name w:val="Normal Table"/>
    <w:qFormat/>
    <w:uiPriority w:val="0"/>
    <w:tblPr>
      <w:tblCellMar>
        <w:top w:w="0" w:type="dxa"/>
        <w:left w:w="108" w:type="dxa"/>
        <w:bottom w:w="0" w:type="dxa"/>
        <w:right w:w="108" w:type="dxa"/>
      </w:tblCellMar>
    </w:tblPr>
  </w:style>
  <w:style w:type="paragraph" w:styleId="2">
    <w:name w:val="Body Text First Indent"/>
    <w:basedOn w:val="3"/>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qFormat/>
    <w:uiPriority w:val="99"/>
    <w:pPr>
      <w:spacing w:after="120"/>
    </w:p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annotation reference"/>
    <w:basedOn w:val="11"/>
    <w:qFormat/>
    <w:uiPriority w:val="0"/>
    <w:rPr>
      <w:rFonts w:ascii="Times New Roman" w:hAnsi="Times New Roman" w:eastAsia="宋体" w:cs="Times New Roman"/>
      <w:sz w:val="21"/>
      <w:szCs w:val="21"/>
    </w:rPr>
  </w:style>
  <w:style w:type="paragraph" w:customStyle="1" w:styleId="14">
    <w:name w:val="Heading4"/>
    <w:basedOn w:val="1"/>
    <w:next w:val="1"/>
    <w:qFormat/>
    <w:uiPriority w:val="0"/>
    <w:pPr>
      <w:keepNext/>
      <w:keepLines/>
      <w:spacing w:before="280" w:after="290" w:line="376" w:lineRule="auto"/>
      <w:textAlignment w:val="baseline"/>
    </w:pPr>
    <w:rPr>
      <w:rFonts w:ascii="Cambria" w:hAnsi="Cambria" w:eastAsia="宋体" w:cs="Times New Roman"/>
      <w:b/>
      <w:bCs/>
      <w:sz w:val="28"/>
      <w:szCs w:val="28"/>
    </w:rPr>
  </w:style>
  <w:style w:type="character" w:customStyle="1" w:styleId="15">
    <w:name w:val="font31"/>
    <w:basedOn w:val="11"/>
    <w:qFormat/>
    <w:uiPriority w:val="0"/>
    <w:rPr>
      <w:rFonts w:hint="eastAsia" w:ascii="宋体" w:hAnsi="宋体" w:eastAsia="宋体" w:cs="宋体"/>
      <w:b/>
      <w:bCs/>
      <w:color w:val="000000"/>
      <w:sz w:val="22"/>
      <w:szCs w:val="22"/>
      <w:u w:val="none"/>
    </w:rPr>
  </w:style>
  <w:style w:type="paragraph" w:customStyle="1" w:styleId="16">
    <w:name w:val="&quot;【正文】&quot;"/>
    <w:basedOn w:val="1"/>
    <w:qFormat/>
    <w:uiPriority w:val="0"/>
    <w:pPr>
      <w:widowControl w:val="0"/>
      <w:adjustRightInd w:val="0"/>
      <w:snapToGrid w:val="0"/>
      <w:spacing w:after="0" w:line="560" w:lineRule="exact"/>
      <w:ind w:firstLine="200" w:firstLineChars="200"/>
      <w:jc w:val="both"/>
    </w:pPr>
    <w:rPr>
      <w:rFonts w:ascii="仿宋_GB2312" w:hAnsi="仿宋_GB2312" w:eastAsia="仿宋_GB2312" w:cs="Times New Roman"/>
      <w:kern w:val="2"/>
      <w:sz w:val="32"/>
      <w:szCs w:val="20"/>
      <w:lang w:val="en-US" w:eastAsia="zh-CN" w:bidi="ar-SA"/>
    </w:rPr>
  </w:style>
  <w:style w:type="paragraph" w:customStyle="1" w:styleId="17">
    <w:name w:val="&quot;样式2&quot;"/>
    <w:basedOn w:val="1"/>
    <w:qFormat/>
    <w:uiPriority w:val="0"/>
    <w:pPr>
      <w:widowControl/>
      <w:shd w:val="clear" w:color="FFFFFF" w:fill="FFFFFF"/>
      <w:adjustRightInd w:val="0"/>
      <w:snapToGrid w:val="0"/>
      <w:spacing w:after="0" w:line="560" w:lineRule="exact"/>
      <w:ind w:firstLine="640" w:firstLineChars="200"/>
      <w:jc w:val="both"/>
      <w:outlineLvl w:val="1"/>
    </w:pPr>
    <w:rPr>
      <w:rFonts w:ascii="楷体_GB2312" w:hAnsi="Arial" w:eastAsia="楷体_GB2312" w:cs="Arial"/>
      <w:b/>
      <w:bCs/>
      <w:color w:val="000000"/>
      <w:kern w:val="0"/>
      <w:sz w:val="32"/>
      <w:szCs w:val="32"/>
      <w:lang w:val="en-US" w:eastAsia="zh-CN" w:bidi="ar-SA"/>
    </w:rPr>
  </w:style>
  <w:style w:type="paragraph" w:customStyle="1" w:styleId="18">
    <w:name w:val="&quot;正文1&quot;"/>
    <w:qFormat/>
    <w:uiPriority w:val="0"/>
    <w:pPr>
      <w:spacing w:after="0"/>
      <w:jc w:val="both"/>
    </w:pPr>
    <w:rPr>
      <w:rFonts w:ascii="等线" w:hAnsi="等线" w:eastAsia="宋体" w:cs="宋体"/>
      <w:kern w:val="2"/>
      <w:sz w:val="21"/>
      <w:szCs w:val="21"/>
      <w:lang w:val="en-US" w:eastAsia="zh-CN" w:bidi="ar-SA"/>
    </w:rPr>
  </w:style>
  <w:style w:type="paragraph" w:customStyle="1" w:styleId="19">
    <w:name w:val="&quot;【正文】&quot;1"/>
    <w:basedOn w:val="1"/>
    <w:qFormat/>
    <w:uiPriority w:val="0"/>
    <w:pPr>
      <w:widowControl w:val="0"/>
      <w:adjustRightInd w:val="0"/>
      <w:snapToGrid w:val="0"/>
      <w:spacing w:after="0" w:line="560" w:lineRule="exact"/>
      <w:ind w:firstLine="200" w:firstLineChars="200"/>
      <w:jc w:val="both"/>
    </w:pPr>
    <w:rPr>
      <w:rFonts w:ascii="仿宋_GB2312" w:hAnsi="仿宋_GB2312" w:eastAsia="仿宋_GB2312" w:cs="Times New Roman"/>
      <w:kern w:val="2"/>
      <w:sz w:val="32"/>
      <w:szCs w:val="20"/>
      <w:lang w:val="en-US" w:eastAsia="zh-CN" w:bidi="ar-SA"/>
    </w:rPr>
  </w:style>
  <w:style w:type="paragraph" w:customStyle="1" w:styleId="20">
    <w:name w:val="&quot;样式2&quot;1"/>
    <w:basedOn w:val="1"/>
    <w:qFormat/>
    <w:uiPriority w:val="0"/>
    <w:pPr>
      <w:widowControl/>
      <w:shd w:val="clear" w:color="FFFFFF" w:fill="FFFFFF"/>
      <w:adjustRightInd w:val="0"/>
      <w:snapToGrid w:val="0"/>
      <w:spacing w:after="0" w:line="560" w:lineRule="exact"/>
      <w:ind w:firstLine="640" w:firstLineChars="200"/>
      <w:jc w:val="both"/>
      <w:outlineLvl w:val="1"/>
    </w:pPr>
    <w:rPr>
      <w:rFonts w:ascii="楷体_GB2312" w:hAnsi="Arial" w:eastAsia="楷体_GB2312" w:cs="Arial"/>
      <w:b/>
      <w:bCs/>
      <w:color w:val="000000"/>
      <w:kern w:val="0"/>
      <w:sz w:val="32"/>
      <w:szCs w:val="32"/>
      <w:lang w:val="en-US" w:eastAsia="zh-CN" w:bidi="ar-SA"/>
    </w:rPr>
  </w:style>
  <w:style w:type="paragraph" w:customStyle="1" w:styleId="21">
    <w:name w:val="&quot;正文1&quot;1"/>
    <w:qFormat/>
    <w:uiPriority w:val="0"/>
    <w:pPr>
      <w:spacing w:after="0"/>
      <w:jc w:val="both"/>
    </w:pPr>
    <w:rPr>
      <w:rFonts w:ascii="等线" w:hAnsi="等线" w:eastAsia="宋体" w:cs="宋体"/>
      <w:kern w:val="2"/>
      <w:sz w:val="21"/>
      <w:szCs w:val="21"/>
      <w:lang w:val="en-US" w:eastAsia="zh-CN" w:bidi="ar-SA"/>
    </w:rPr>
  </w:style>
  <w:style w:type="paragraph" w:customStyle="1" w:styleId="22">
    <w:name w:val="&quot;【正文】&quot;2"/>
    <w:basedOn w:val="1"/>
    <w:qFormat/>
    <w:uiPriority w:val="0"/>
    <w:pPr>
      <w:widowControl w:val="0"/>
      <w:adjustRightInd w:val="0"/>
      <w:snapToGrid w:val="0"/>
      <w:spacing w:after="0" w:line="560" w:lineRule="exact"/>
      <w:ind w:firstLine="200" w:firstLineChars="200"/>
      <w:jc w:val="both"/>
    </w:pPr>
    <w:rPr>
      <w:rFonts w:ascii="仿宋_GB2312" w:hAnsi="仿宋_GB2312" w:eastAsia="仿宋_GB2312" w:cs="Times New Roman"/>
      <w:kern w:val="2"/>
      <w:sz w:val="32"/>
      <w:szCs w:val="20"/>
      <w:lang w:val="en-US" w:eastAsia="zh-CN" w:bidi="ar-SA"/>
    </w:rPr>
  </w:style>
  <w:style w:type="paragraph" w:customStyle="1" w:styleId="23">
    <w:name w:val="&quot;样式2&quot;2"/>
    <w:basedOn w:val="1"/>
    <w:qFormat/>
    <w:uiPriority w:val="0"/>
    <w:pPr>
      <w:widowControl/>
      <w:shd w:val="clear" w:color="FFFFFF" w:fill="FFFFFF"/>
      <w:adjustRightInd w:val="0"/>
      <w:snapToGrid w:val="0"/>
      <w:spacing w:after="0" w:line="560" w:lineRule="exact"/>
      <w:ind w:firstLine="640" w:firstLineChars="200"/>
      <w:jc w:val="both"/>
      <w:outlineLvl w:val="1"/>
    </w:pPr>
    <w:rPr>
      <w:rFonts w:ascii="楷体_GB2312" w:hAnsi="Arial" w:eastAsia="楷体_GB2312" w:cs="Arial"/>
      <w:b/>
      <w:bCs/>
      <w:color w:val="000000"/>
      <w:kern w:val="0"/>
      <w:sz w:val="32"/>
      <w:szCs w:val="32"/>
      <w:lang w:val="en-US" w:eastAsia="zh-CN" w:bidi="ar-SA"/>
    </w:rPr>
  </w:style>
  <w:style w:type="paragraph" w:customStyle="1" w:styleId="24">
    <w:name w:val="&quot;正文1&quot;2"/>
    <w:qFormat/>
    <w:uiPriority w:val="0"/>
    <w:pPr>
      <w:spacing w:after="0"/>
      <w:jc w:val="both"/>
    </w:pPr>
    <w:rPr>
      <w:rFonts w:ascii="等线" w:hAnsi="等线"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2194</Words>
  <Characters>2334</Characters>
  <Paragraphs>103</Paragraphs>
  <TotalTime>0</TotalTime>
  <ScaleCrop>false</ScaleCrop>
  <LinksUpToDate>false</LinksUpToDate>
  <CharactersWithSpaces>2334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2024-06-06T23:22:00Z</dcterms:created>
  <dc:creator>张思敏</dc:creator>
  <cp:lastModifiedBy>黄晓昕</cp:lastModifiedBy>
  <cp:lastPrinted>2025-10-16T00:53:00Z</cp:lastPrinted>
  <dcterms:modified xsi:type="dcterms:W3CDTF">2025-11-12T16:26:46Z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7DA5CF03A17B43D197ED35A566363764_13</vt:lpwstr>
  </property>
  <property fmtid="{D5CDD505-2E9C-101B-9397-08002B2CF9AE}" pid="4" name="KSOTemplateDocerSaveRecord">
    <vt:lpwstr>eyJoZGlkIjoiMzdmMTM0ZmYzMTE4ZTRjYTk0NDNkZTVlY2MzMzRlZDMiLCJ1c2VySWQiOiIzNjkxODc5NDYifQ==</vt:lpwstr>
  </property>
</Properties>
</file>