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_GBK"/>
          <w:sz w:val="44"/>
          <w:szCs w:val="44"/>
          <w:highlight w:val="none"/>
          <w:lang w:eastAsia="zh-CN"/>
        </w:rPr>
      </w:pPr>
      <w:r>
        <w:rPr>
          <w:rFonts w:hint="default" w:ascii="Times New Roman" w:hAnsi="Times New Roman" w:eastAsia="方正小标宋_GBK"/>
          <w:sz w:val="44"/>
          <w:szCs w:val="44"/>
          <w:highlight w:val="none"/>
          <w:lang w:eastAsia="zh-CN"/>
        </w:rPr>
        <w:t>南山区促进产业高质量发展专项资金</w:t>
      </w:r>
      <w:r>
        <w:rPr>
          <w:rFonts w:hint="eastAsia" w:ascii="方正小标宋_GBK" w:hAnsi="方正小标宋_GBK" w:eastAsia="方正小标宋_GBK" w:cs="方正小标宋_GBK"/>
          <w:sz w:val="44"/>
          <w:szCs w:val="44"/>
          <w:highlight w:val="none"/>
          <w:lang w:eastAsia="zh-CN"/>
        </w:rPr>
        <w:t>——</w:t>
      </w:r>
    </w:p>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_GBK"/>
          <w:color w:val="000000"/>
          <w:sz w:val="44"/>
          <w:szCs w:val="44"/>
          <w:highlight w:val="none"/>
          <w:lang w:val="en-US" w:eastAsia="zh-CN"/>
        </w:rPr>
      </w:pPr>
      <w:r>
        <w:rPr>
          <w:rFonts w:ascii="Times New Roman" w:hAnsi="Times New Roman" w:eastAsia="方正小标宋_GBK" w:cs="Times New Roman"/>
          <w:bCs/>
          <w:sz w:val="44"/>
          <w:szCs w:val="44"/>
          <w:highlight w:val="none"/>
          <w:lang w:eastAsia="zh-CN" w:bidi="ar-SA"/>
        </w:rPr>
        <w:t>区</w:t>
      </w:r>
      <w:r>
        <w:rPr>
          <w:rFonts w:hint="eastAsia" w:eastAsia="方正小标宋_GBK" w:cs="Times New Roman"/>
          <w:bCs/>
          <w:sz w:val="44"/>
          <w:szCs w:val="44"/>
          <w:highlight w:val="none"/>
          <w:lang w:eastAsia="zh-CN" w:bidi="ar-SA"/>
        </w:rPr>
        <w:t>科技创新</w:t>
      </w:r>
      <w:r>
        <w:rPr>
          <w:rFonts w:ascii="Times New Roman" w:hAnsi="Times New Roman" w:eastAsia="方正小标宋_GBK" w:cs="Times New Roman"/>
          <w:bCs/>
          <w:sz w:val="44"/>
          <w:szCs w:val="44"/>
          <w:highlight w:val="none"/>
          <w:lang w:eastAsia="zh-CN" w:bidi="ar-SA"/>
        </w:rPr>
        <w:t>局</w:t>
      </w:r>
      <w:r>
        <w:rPr>
          <w:rFonts w:ascii="Times New Roman" w:hAnsi="Times New Roman" w:eastAsia="方正小标宋_GBK"/>
          <w:color w:val="000000"/>
          <w:sz w:val="44"/>
          <w:szCs w:val="44"/>
          <w:highlight w:val="none"/>
          <w:lang w:eastAsia="zh-CN"/>
        </w:rPr>
        <w:t>分项资金</w:t>
      </w:r>
    </w:p>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_GBK"/>
          <w:color w:val="000000"/>
          <w:sz w:val="44"/>
          <w:szCs w:val="44"/>
          <w:highlight w:val="none"/>
          <w:lang w:val="en-US" w:eastAsia="zh-CN"/>
        </w:rPr>
        <w:t>医疗器械注册证支持</w:t>
      </w:r>
      <w:r>
        <w:rPr>
          <w:rFonts w:hint="eastAsia" w:eastAsia="方正小标宋_GBK"/>
          <w:color w:val="000000"/>
          <w:sz w:val="44"/>
          <w:szCs w:val="44"/>
          <w:highlight w:val="none"/>
          <w:lang w:val="en-US" w:eastAsia="zh-CN"/>
        </w:rPr>
        <w:t>计划</w:t>
      </w:r>
      <w:r>
        <w:rPr>
          <w:rFonts w:hint="default" w:ascii="Times New Roman" w:hAnsi="Times New Roman" w:eastAsia="方正小标宋简体" w:cs="Times New Roman"/>
          <w:color w:val="000000"/>
          <w:sz w:val="44"/>
          <w:szCs w:val="44"/>
          <w:highlight w:val="none"/>
          <w:lang w:val="en-US" w:eastAsia="zh-CN"/>
        </w:rPr>
        <w:t>操作规程</w:t>
      </w:r>
    </w:p>
    <w:p>
      <w:pPr>
        <w:pageBreakBefore w:val="0"/>
        <w:kinsoku/>
        <w:wordWrap/>
        <w:overflowPunct/>
        <w:topLinePunct w:val="0"/>
        <w:autoSpaceDE/>
        <w:autoSpaceDN/>
        <w:bidi w:val="0"/>
        <w:spacing w:line="560" w:lineRule="exact"/>
        <w:jc w:val="center"/>
        <w:rPr>
          <w:rFonts w:eastAsia="黑体"/>
          <w:color w:val="000000"/>
          <w:sz w:val="32"/>
          <w:szCs w:val="32"/>
          <w:highlight w:val="none"/>
        </w:rPr>
      </w:pP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依据《南山区促进产业高质量发展专项资金管理办法》《南山区促进生命科技相关产业高质量发展专项扶持措施》等文件规定，制定本操作规程。</w:t>
      </w:r>
    </w:p>
    <w:p>
      <w:pPr>
        <w:pageBreakBefore w:val="0"/>
        <w:numPr>
          <w:ilvl w:val="0"/>
          <w:numId w:val="1"/>
        </w:numPr>
        <w:kinsoku/>
        <w:wordWrap/>
        <w:overflowPunct/>
        <w:topLinePunct w:val="0"/>
        <w:autoSpaceDE/>
        <w:autoSpaceDN/>
        <w:bidi w:val="0"/>
        <w:spacing w:line="560" w:lineRule="exact"/>
        <w:ind w:firstLine="640" w:firstLineChars="200"/>
        <w:outlineLvl w:val="0"/>
        <w:rPr>
          <w:rFonts w:hint="default" w:hAnsi="Times New Roman" w:eastAsia="黑体"/>
          <w:sz w:val="32"/>
          <w:szCs w:val="32"/>
          <w:highlight w:val="none"/>
        </w:rPr>
      </w:pPr>
      <w:r>
        <w:rPr>
          <w:rFonts w:hint="default" w:hAnsi="Times New Roman" w:eastAsia="黑体"/>
          <w:sz w:val="32"/>
          <w:szCs w:val="32"/>
          <w:highlight w:val="none"/>
        </w:rPr>
        <w:t>政策内容</w:t>
      </w:r>
    </w:p>
    <w:p>
      <w:pPr>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rPr>
        <w:t>对进入广东省医疗器械特别审查程序获得产品注册证的二类医疗器械品种最高奖励50万元，进入国家级创新医疗器械特别审查程序获得产品注册证的三类医疗器械品种最高奖励100万元。对通过一般程序首次注册并获得生产批件的二类、三类医疗器械产品，依据其注册及生产情况，每项分别最高奖励30万元、60万元。每家企业每年最高奖励300万元。</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highlight w:val="none"/>
        </w:rPr>
      </w:pPr>
      <w:r>
        <w:rPr>
          <w:rFonts w:hint="default" w:hAnsi="Times New Roman" w:eastAsia="黑体"/>
          <w:sz w:val="32"/>
          <w:szCs w:val="32"/>
          <w:highlight w:val="none"/>
        </w:rPr>
        <w:t>二、资助方式</w:t>
      </w:r>
    </w:p>
    <w:p>
      <w:pPr>
        <w:pageBreakBefore w:val="0"/>
        <w:widowControl/>
        <w:kinsoku/>
        <w:wordWrap/>
        <w:overflowPunct/>
        <w:topLinePunct w:val="0"/>
        <w:autoSpaceDE/>
        <w:autoSpaceDN/>
        <w:bidi w:val="0"/>
        <w:spacing w:line="560" w:lineRule="exact"/>
        <w:ind w:firstLine="640" w:firstLineChars="200"/>
        <w:outlineLvl w:val="9"/>
        <w:rPr>
          <w:rFonts w:hint="default" w:eastAsia="仿宋_GB2312"/>
          <w:sz w:val="32"/>
          <w:szCs w:val="32"/>
          <w:highlight w:val="none"/>
        </w:rPr>
      </w:pPr>
      <w:r>
        <w:rPr>
          <w:rFonts w:hint="default" w:ascii="Times New Roman" w:eastAsia="仿宋_GB2312"/>
          <w:sz w:val="32"/>
          <w:szCs w:val="32"/>
          <w:highlight w:val="none"/>
          <w:lang w:eastAsia="zh-CN"/>
        </w:rPr>
        <w:t>本资助计划</w:t>
      </w:r>
      <w:r>
        <w:rPr>
          <w:rFonts w:hint="default" w:eastAsia="仿宋_GB2312"/>
          <w:sz w:val="32"/>
          <w:szCs w:val="32"/>
          <w:highlight w:val="none"/>
        </w:rPr>
        <w:t>属于</w:t>
      </w:r>
      <w:r>
        <w:rPr>
          <w:rFonts w:hint="default" w:eastAsia="仿宋_GB2312"/>
          <w:sz w:val="32"/>
          <w:szCs w:val="32"/>
          <w:highlight w:val="none"/>
          <w:lang w:eastAsia="zh-CN"/>
        </w:rPr>
        <w:t>核准</w:t>
      </w:r>
      <w:r>
        <w:rPr>
          <w:rFonts w:hint="default" w:eastAsia="仿宋_GB2312"/>
          <w:sz w:val="32"/>
          <w:szCs w:val="32"/>
          <w:highlight w:val="none"/>
        </w:rPr>
        <w:t>类项目，资助资金的安排使用坚持公平、公开、公正的原则，实行自愿申报、科学决策和绩效评估的管理制度，采取无偿资助方式和事后补贴制，受资助项目无需验收。</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sz w:val="32"/>
          <w:szCs w:val="32"/>
          <w:highlight w:val="none"/>
        </w:rPr>
      </w:pPr>
      <w:r>
        <w:rPr>
          <w:rFonts w:hint="default" w:eastAsia="仿宋_GB2312"/>
          <w:sz w:val="32"/>
          <w:szCs w:val="32"/>
          <w:highlight w:val="none"/>
        </w:rPr>
        <w:t>本项资助受年度资金预算控制，区</w:t>
      </w:r>
      <w:r>
        <w:rPr>
          <w:rFonts w:hint="eastAsia" w:eastAsia="仿宋_GB2312"/>
          <w:sz w:val="32"/>
          <w:szCs w:val="32"/>
          <w:highlight w:val="none"/>
          <w:lang w:eastAsia="zh-CN"/>
        </w:rPr>
        <w:t>科技创新</w:t>
      </w:r>
      <w:r>
        <w:rPr>
          <w:rFonts w:hint="default" w:eastAsia="仿宋_GB2312"/>
          <w:sz w:val="32"/>
          <w:szCs w:val="32"/>
          <w:highlight w:val="none"/>
          <w:lang w:eastAsia="zh-CN"/>
        </w:rPr>
        <w:t>局</w:t>
      </w:r>
      <w:r>
        <w:rPr>
          <w:rFonts w:hint="default" w:eastAsia="仿宋_GB2312"/>
          <w:sz w:val="32"/>
          <w:szCs w:val="32"/>
          <w:highlight w:val="none"/>
        </w:rPr>
        <w:t>视申报情况和预算安排，据以对资助金额、支持比例和拨付进度等进行统一调整，申报</w:t>
      </w:r>
      <w:r>
        <w:rPr>
          <w:rFonts w:hint="default" w:eastAsia="仿宋_GB2312"/>
          <w:sz w:val="32"/>
          <w:szCs w:val="32"/>
          <w:highlight w:val="none"/>
          <w:lang w:eastAsia="zh-CN"/>
        </w:rPr>
        <w:t>主体</w:t>
      </w:r>
      <w:r>
        <w:rPr>
          <w:rFonts w:hint="default" w:eastAsia="仿宋_GB2312"/>
          <w:sz w:val="32"/>
          <w:szCs w:val="32"/>
          <w:highlight w:val="none"/>
        </w:rPr>
        <w:t>应无条件同意调整结果。</w:t>
      </w:r>
    </w:p>
    <w:p>
      <w:pPr>
        <w:pageBreakBefore w:val="0"/>
        <w:widowControl/>
        <w:kinsoku/>
        <w:wordWrap/>
        <w:overflowPunct/>
        <w:topLinePunct w:val="0"/>
        <w:autoSpaceDE/>
        <w:autoSpaceDN/>
        <w:bidi w:val="0"/>
        <w:spacing w:line="560" w:lineRule="exact"/>
        <w:ind w:firstLine="537" w:firstLineChars="168"/>
        <w:outlineLvl w:val="0"/>
        <w:rPr>
          <w:rFonts w:hint="default" w:hAnsi="Times New Roman" w:eastAsia="黑体"/>
          <w:sz w:val="32"/>
          <w:szCs w:val="32"/>
          <w:highlight w:val="none"/>
          <w:lang w:eastAsia="zh-CN"/>
        </w:rPr>
      </w:pPr>
      <w:r>
        <w:rPr>
          <w:rFonts w:hint="default" w:hAnsi="Times New Roman" w:eastAsia="黑体"/>
          <w:sz w:val="32"/>
          <w:szCs w:val="32"/>
          <w:highlight w:val="none"/>
          <w:lang w:eastAsia="zh-CN"/>
        </w:rPr>
        <w:t>三、资助标准</w:t>
      </w:r>
    </w:p>
    <w:p>
      <w:pPr>
        <w:pageBreakBefore w:val="0"/>
        <w:widowControl/>
        <w:numPr>
          <w:ilvl w:val="0"/>
          <w:numId w:val="0"/>
        </w:numPr>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lang w:val="en-US" w:eastAsia="zh-CN"/>
        </w:rPr>
      </w:pPr>
      <w:r>
        <w:rPr>
          <w:rFonts w:hint="eastAsia" w:ascii="仿宋_GB2312" w:hAnsi="仿宋_GB2312" w:eastAsia="仿宋_GB2312" w:cs="仿宋_GB2312"/>
          <w:sz w:val="32"/>
          <w:szCs w:val="24"/>
          <w:highlight w:val="none"/>
          <w:shd w:val="clear" w:color="auto" w:fill="auto"/>
          <w:lang w:eastAsia="zh-CN"/>
        </w:rPr>
        <w:t>（一）</w:t>
      </w:r>
      <w:r>
        <w:rPr>
          <w:rFonts w:hint="eastAsia" w:ascii="仿宋_GB2312" w:hAnsi="仿宋_GB2312" w:eastAsia="仿宋_GB2312" w:cs="仿宋_GB2312"/>
          <w:sz w:val="32"/>
          <w:szCs w:val="24"/>
          <w:highlight w:val="none"/>
          <w:shd w:val="clear" w:color="auto" w:fill="auto"/>
        </w:rPr>
        <w:t>对进入国家级创新医疗器械特别审查程序获得产品注册证的三类医疗器械品种</w:t>
      </w:r>
      <w:r>
        <w:rPr>
          <w:rFonts w:hint="eastAsia" w:ascii="仿宋_GB2312" w:hAnsi="仿宋_GB2312" w:eastAsia="仿宋_GB2312" w:cs="仿宋_GB2312"/>
          <w:sz w:val="32"/>
          <w:szCs w:val="24"/>
          <w:highlight w:val="none"/>
          <w:shd w:val="clear" w:color="auto" w:fill="auto"/>
          <w:lang w:eastAsia="zh-CN"/>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24"/>
          <w:highlight w:val="none"/>
          <w:shd w:val="clear" w:color="auto" w:fill="auto"/>
          <w:lang w:eastAsia="zh-CN"/>
        </w:rPr>
        <w:t>区内的，每项最高奖励1</w:t>
      </w:r>
      <w:r>
        <w:rPr>
          <w:rFonts w:hint="eastAsia" w:ascii="仿宋_GB2312" w:hAnsi="仿宋_GB2312" w:eastAsia="仿宋_GB2312" w:cs="仿宋_GB2312"/>
          <w:sz w:val="32"/>
          <w:szCs w:val="24"/>
          <w:highlight w:val="none"/>
          <w:shd w:val="clear" w:color="auto" w:fill="auto"/>
          <w:lang w:val="en-US" w:eastAsia="zh-CN"/>
        </w:rPr>
        <w:t>00万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；生产地址位于南山区外的，每项最高</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24"/>
          <w:highlight w:val="none"/>
          <w:shd w:val="clear" w:color="auto" w:fill="auto"/>
          <w:lang w:val="en-US" w:eastAsia="zh-CN"/>
        </w:rPr>
        <w:t>80万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w:t>
      </w:r>
    </w:p>
    <w:p>
      <w:pPr>
        <w:pageBreakBefore w:val="0"/>
        <w:widowControl/>
        <w:numPr>
          <w:ilvl w:val="0"/>
          <w:numId w:val="0"/>
        </w:numPr>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lang w:val="en-US" w:eastAsia="zh-CN"/>
        </w:rPr>
      </w:pPr>
      <w:r>
        <w:rPr>
          <w:rFonts w:hint="eastAsia" w:ascii="仿宋_GB2312" w:hAnsi="仿宋_GB2312" w:eastAsia="仿宋_GB2312" w:cs="仿宋_GB2312"/>
          <w:sz w:val="32"/>
          <w:szCs w:val="24"/>
          <w:highlight w:val="none"/>
          <w:shd w:val="clear" w:color="auto" w:fill="auto"/>
          <w:lang w:eastAsia="zh-CN"/>
        </w:rPr>
        <w:t>（二）</w:t>
      </w:r>
      <w:r>
        <w:rPr>
          <w:rFonts w:hint="eastAsia" w:ascii="仿宋_GB2312" w:hAnsi="仿宋_GB2312" w:eastAsia="仿宋_GB2312" w:cs="仿宋_GB2312"/>
          <w:sz w:val="32"/>
          <w:szCs w:val="24"/>
          <w:highlight w:val="none"/>
          <w:shd w:val="clear" w:color="auto" w:fill="auto"/>
        </w:rPr>
        <w:t>对进入广东省医疗器械特别审查程序获得产品注册证的二类医疗器械品种</w:t>
      </w:r>
      <w:r>
        <w:rPr>
          <w:rFonts w:hint="eastAsia" w:ascii="仿宋_GB2312" w:hAnsi="仿宋_GB2312" w:eastAsia="仿宋_GB2312" w:cs="仿宋_GB2312"/>
          <w:sz w:val="32"/>
          <w:szCs w:val="24"/>
          <w:highlight w:val="none"/>
          <w:shd w:val="clear" w:color="auto" w:fill="auto"/>
          <w:lang w:eastAsia="zh-CN"/>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24"/>
          <w:highlight w:val="none"/>
          <w:shd w:val="clear" w:color="auto" w:fill="auto"/>
          <w:lang w:eastAsia="zh-CN"/>
        </w:rPr>
        <w:t>区内的，每项最高奖励5</w:t>
      </w:r>
      <w:r>
        <w:rPr>
          <w:rFonts w:hint="eastAsia" w:ascii="仿宋_GB2312" w:hAnsi="仿宋_GB2312" w:eastAsia="仿宋_GB2312" w:cs="仿宋_GB2312"/>
          <w:sz w:val="32"/>
          <w:szCs w:val="24"/>
          <w:highlight w:val="none"/>
          <w:shd w:val="clear" w:color="auto" w:fill="auto"/>
          <w:lang w:val="en-US" w:eastAsia="zh-CN"/>
        </w:rPr>
        <w:t>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；生产地址位于南山区外的，每项最高</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24"/>
          <w:highlight w:val="none"/>
          <w:shd w:val="clear" w:color="auto" w:fill="auto"/>
          <w:lang w:val="en-US" w:eastAsia="zh-CN"/>
        </w:rPr>
        <w:t>40万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w:t>
      </w:r>
    </w:p>
    <w:p>
      <w:pPr>
        <w:pageBreakBefore w:val="0"/>
        <w:widowControl w:val="0"/>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rPr>
      </w:pPr>
      <w:r>
        <w:rPr>
          <w:rFonts w:hint="eastAsia" w:ascii="仿宋_GB2312" w:hAnsi="仿宋_GB2312" w:eastAsia="仿宋_GB2312" w:cs="仿宋_GB2312"/>
          <w:sz w:val="32"/>
          <w:szCs w:val="24"/>
          <w:highlight w:val="none"/>
          <w:shd w:val="clear" w:color="auto" w:fill="auto"/>
          <w:lang w:eastAsia="zh-CN"/>
        </w:rPr>
        <w:t>（三）</w:t>
      </w:r>
      <w:r>
        <w:rPr>
          <w:rFonts w:hint="eastAsia" w:ascii="仿宋_GB2312" w:hAnsi="仿宋_GB2312" w:eastAsia="仿宋_GB2312" w:cs="仿宋_GB2312"/>
          <w:sz w:val="32"/>
          <w:szCs w:val="24"/>
          <w:highlight w:val="none"/>
          <w:shd w:val="clear" w:color="auto" w:fill="auto"/>
        </w:rPr>
        <w:t>对通过一般程序首次注册并获得生产批件的三类和二类医疗器械产品</w:t>
      </w:r>
      <w:r>
        <w:rPr>
          <w:rFonts w:hint="eastAsia" w:ascii="仿宋_GB2312" w:hAnsi="仿宋_GB2312" w:eastAsia="仿宋_GB2312" w:cs="仿宋_GB2312"/>
          <w:sz w:val="32"/>
          <w:szCs w:val="24"/>
          <w:highlight w:val="none"/>
          <w:shd w:val="clear" w:color="auto" w:fill="auto"/>
          <w:lang w:eastAsia="zh-CN"/>
        </w:rPr>
        <w:t>（不含二类诊断试剂）：</w:t>
      </w:r>
      <w:r>
        <w:rPr>
          <w:rFonts w:hint="eastAsia" w:ascii="仿宋_GB2312" w:hAnsi="仿宋_GB2312" w:eastAsia="仿宋_GB2312" w:cs="仿宋_GB2312"/>
          <w:sz w:val="32"/>
          <w:szCs w:val="32"/>
          <w:highlight w:val="none"/>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32"/>
          <w:highlight w:val="none"/>
        </w:rPr>
        <w:t>区内</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，每项</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分别</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32"/>
          <w:highlight w:val="none"/>
        </w:rPr>
        <w:t>区外</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，每项</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分别</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黑体"/>
          <w:sz w:val="32"/>
          <w:szCs w:val="32"/>
          <w:highlight w:val="none"/>
          <w:lang w:eastAsia="zh-CN"/>
        </w:rPr>
      </w:pP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金额按照品种独立核定，同类产品仅支持一次，不支持增加适用范围、调整规格等情况。</w:t>
      </w:r>
    </w:p>
    <w:p>
      <w:pPr>
        <w:pageBreakBefore w:val="0"/>
        <w:widowControl/>
        <w:kinsoku/>
        <w:wordWrap/>
        <w:overflowPunct/>
        <w:topLinePunct w:val="0"/>
        <w:autoSpaceDE/>
        <w:autoSpaceDN/>
        <w:bidi w:val="0"/>
        <w:spacing w:line="560" w:lineRule="exact"/>
        <w:ind w:firstLine="537" w:firstLineChars="168"/>
        <w:outlineLvl w:val="0"/>
        <w:rPr>
          <w:rFonts w:hAnsi="Times New Roman" w:eastAsia="黑体"/>
          <w:sz w:val="32"/>
          <w:szCs w:val="32"/>
          <w:highlight w:val="none"/>
        </w:rPr>
      </w:pPr>
      <w:r>
        <w:rPr>
          <w:rFonts w:hint="default" w:hAnsi="Times New Roman" w:eastAsia="黑体"/>
          <w:sz w:val="32"/>
          <w:szCs w:val="32"/>
          <w:highlight w:val="none"/>
          <w:lang w:eastAsia="zh-CN"/>
        </w:rPr>
        <w:t>四</w:t>
      </w:r>
      <w:r>
        <w:rPr>
          <w:rFonts w:hint="default" w:hAnsi="Times New Roman" w:eastAsia="黑体"/>
          <w:sz w:val="32"/>
          <w:szCs w:val="32"/>
          <w:highlight w:val="none"/>
        </w:rPr>
        <w:t>、申请条件</w:t>
      </w:r>
    </w:p>
    <w:p>
      <w:pPr>
        <w:pageBreakBefore w:val="0"/>
        <w:widowControl/>
        <w:kinsoku/>
        <w:wordWrap/>
        <w:overflowPunct/>
        <w:topLinePunct w:val="0"/>
        <w:autoSpaceDE/>
        <w:autoSpaceDN/>
        <w:bidi w:val="0"/>
        <w:spacing w:line="560" w:lineRule="exact"/>
        <w:ind w:firstLine="537" w:firstLineChars="168"/>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lang w:eastAsia="zh-CN"/>
        </w:rPr>
        <w:t>（一）</w:t>
      </w:r>
      <w:r>
        <w:rPr>
          <w:rFonts w:hint="eastAsia" w:ascii="楷体_GB2312" w:hAnsi="楷体_GB2312" w:eastAsia="楷体_GB2312" w:cs="楷体_GB2312"/>
          <w:bCs/>
          <w:color w:val="000000"/>
          <w:sz w:val="32"/>
          <w:szCs w:val="32"/>
          <w:highlight w:val="none"/>
        </w:rPr>
        <w:t>申请本项资金资助的机构应符合以下基本条件：</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（二）其他条件：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通过</w:t>
      </w:r>
      <w:r>
        <w:rPr>
          <w:rFonts w:hint="eastAsia" w:ascii="仿宋_GB2312" w:hAnsi="仿宋_GB2312" w:eastAsia="仿宋_GB2312" w:cs="仿宋_GB2312"/>
          <w:sz w:val="32"/>
          <w:szCs w:val="24"/>
          <w:highlight w:val="none"/>
          <w:shd w:val="clear" w:color="auto" w:fill="auto"/>
        </w:rPr>
        <w:t>特别审查程序</w:t>
      </w:r>
      <w:r>
        <w:rPr>
          <w:rFonts w:hint="eastAsia" w:ascii="仿宋_GB2312" w:hAnsi="仿宋_GB2312" w:eastAsia="仿宋_GB2312" w:cs="仿宋_GB2312"/>
          <w:sz w:val="32"/>
          <w:szCs w:val="24"/>
          <w:highlight w:val="none"/>
          <w:shd w:val="clear" w:color="auto" w:fill="auto"/>
          <w:lang w:val="en-US" w:eastAsia="zh-CN"/>
        </w:rPr>
        <w:t>获批的医疗器械产品，上市注册证</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需于</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2024年1月1日至2024年12月31日</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期间</w:t>
      </w:r>
      <w:r>
        <w:rPr>
          <w:rFonts w:hint="eastAsia" w:ascii="仿宋_GB2312" w:hAnsi="仿宋_GB2312" w:eastAsia="仿宋_GB2312" w:cs="仿宋_GB2312"/>
          <w:sz w:val="32"/>
          <w:szCs w:val="24"/>
          <w:highlight w:val="none"/>
          <w:shd w:val="clear" w:color="auto" w:fill="auto"/>
          <w:lang w:val="en-US" w:eastAsia="zh-CN"/>
        </w:rPr>
        <w:t>获得；</w:t>
      </w:r>
      <w:r>
        <w:rPr>
          <w:rFonts w:hint="eastAsia" w:ascii="仿宋_GB2312" w:hAnsi="仿宋_GB2312" w:eastAsia="仿宋_GB2312" w:cs="仿宋_GB2312"/>
          <w:sz w:val="32"/>
          <w:szCs w:val="24"/>
          <w:highlight w:val="none"/>
          <w:shd w:val="clear" w:color="auto" w:fill="auto"/>
        </w:rPr>
        <w:t>通过一般程序</w:t>
      </w:r>
      <w:r>
        <w:rPr>
          <w:rFonts w:hint="eastAsia" w:ascii="仿宋_GB2312" w:hAnsi="仿宋_GB2312" w:eastAsia="仿宋_GB2312" w:cs="仿宋_GB2312"/>
          <w:sz w:val="32"/>
          <w:szCs w:val="24"/>
          <w:highlight w:val="none"/>
          <w:shd w:val="clear" w:color="auto" w:fill="auto"/>
          <w:lang w:val="en-US" w:eastAsia="zh-CN"/>
        </w:rPr>
        <w:t>获批的医疗器械产品，</w:t>
      </w:r>
      <w:r>
        <w:rPr>
          <w:rFonts w:hint="eastAsia" w:ascii="仿宋_GB2312" w:hAnsi="仿宋_GB2312" w:eastAsia="仿宋_GB2312" w:cs="仿宋_GB2312"/>
          <w:sz w:val="32"/>
          <w:szCs w:val="32"/>
          <w:highlight w:val="none"/>
        </w:rPr>
        <w:t>生产批件</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需于</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2024年1月1日至2024年12月31日</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期间</w:t>
      </w:r>
      <w:r>
        <w:rPr>
          <w:rFonts w:hint="eastAsia" w:ascii="仿宋_GB2312" w:hAnsi="仿宋_GB2312" w:eastAsia="仿宋_GB2312" w:cs="仿宋_GB2312"/>
          <w:sz w:val="32"/>
          <w:szCs w:val="24"/>
          <w:highlight w:val="none"/>
          <w:shd w:val="clear" w:color="auto" w:fill="auto"/>
          <w:lang w:val="en-US" w:eastAsia="zh-CN"/>
        </w:rPr>
        <w:t>获得</w:t>
      </w:r>
      <w:r>
        <w:rPr>
          <w:rFonts w:hint="eastAsia" w:ascii="仿宋_GB2312" w:hAnsi="仿宋_GB2312" w:eastAsia="仿宋_GB2312" w:cs="仿宋_GB2312"/>
          <w:sz w:val="32"/>
          <w:szCs w:val="32"/>
          <w:highlight w:val="none"/>
          <w:lang w:eastAsia="zh-CN"/>
        </w:rPr>
        <w:t>。</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w:t>
      </w:r>
      <w:r>
        <w:rPr>
          <w:rFonts w:hint="eastAsia" w:ascii="楷体_GB2312" w:hAnsi="楷体_GB2312" w:eastAsia="楷体_GB2312" w:cs="楷体_GB2312"/>
          <w:bCs/>
          <w:color w:val="000000"/>
          <w:sz w:val="32"/>
          <w:szCs w:val="32"/>
          <w:highlight w:val="none"/>
          <w:lang w:val="en-US" w:eastAsia="zh-CN"/>
        </w:rPr>
        <w:t>三</w:t>
      </w:r>
      <w:r>
        <w:rPr>
          <w:rFonts w:hint="eastAsia" w:ascii="楷体_GB2312" w:hAnsi="楷体_GB2312" w:eastAsia="楷体_GB2312" w:cs="楷体_GB2312"/>
          <w:bCs/>
          <w:color w:val="000000"/>
          <w:sz w:val="32"/>
          <w:szCs w:val="32"/>
          <w:highlight w:val="none"/>
        </w:rPr>
        <w:t>）有下列情况之一的，本</w:t>
      </w:r>
      <w:r>
        <w:rPr>
          <w:rFonts w:hint="eastAsia" w:ascii="楷体_GB2312" w:hAnsi="楷体_GB2312" w:eastAsia="楷体_GB2312" w:cs="楷体_GB2312"/>
          <w:bCs/>
          <w:color w:val="000000"/>
          <w:sz w:val="32"/>
          <w:szCs w:val="32"/>
          <w:highlight w:val="none"/>
          <w:lang w:eastAsia="zh-CN"/>
        </w:rPr>
        <w:t>项目</w:t>
      </w:r>
      <w:r>
        <w:rPr>
          <w:rFonts w:hint="eastAsia" w:ascii="楷体_GB2312" w:hAnsi="楷体_GB2312" w:eastAsia="楷体_GB2312" w:cs="楷体_GB2312"/>
          <w:bCs/>
          <w:color w:val="000000"/>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被依法依规纳入严重失信主体名单或失信惩戒措施清单的</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Times New Roman" w:eastAsia="黑体"/>
          <w:sz w:val="32"/>
          <w:szCs w:val="32"/>
          <w:highlight w:val="none"/>
        </w:rPr>
      </w:pPr>
      <w:r>
        <w:rPr>
          <w:rFonts w:hint="default" w:ascii="Times New Roman"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i南山企业服务综合平台”（https://www.inanshan.org.cn/），在线填写《南山区促进产业高质量发展专项资金——</w:t>
      </w:r>
      <w:r>
        <w:rPr>
          <w:rFonts w:hint="eastAsia" w:ascii="仿宋_GB2312" w:hAnsi="仿宋_GB2312" w:eastAsia="仿宋_GB2312" w:cs="仿宋_GB2312"/>
          <w:sz w:val="32"/>
          <w:szCs w:val="32"/>
          <w:highlight w:val="none"/>
          <w:lang w:val="en-US" w:eastAsia="zh-CN"/>
        </w:rPr>
        <w:t>科技创新</w:t>
      </w:r>
      <w:r>
        <w:rPr>
          <w:rFonts w:hint="eastAsia" w:ascii="仿宋_GB2312" w:hAnsi="仿宋_GB2312" w:eastAsia="仿宋_GB2312" w:cs="仿宋_GB2312"/>
          <w:sz w:val="32"/>
          <w:szCs w:val="32"/>
          <w:highlight w:val="none"/>
          <w:lang w:eastAsia="zh-CN"/>
        </w:rPr>
        <w:t>分项资金</w:t>
      </w:r>
      <w:r>
        <w:rPr>
          <w:rFonts w:hint="eastAsia" w:ascii="仿宋_GB2312" w:hAnsi="仿宋_GB2312" w:eastAsia="仿宋_GB2312" w:cs="仿宋_GB2312"/>
          <w:sz w:val="32"/>
          <w:szCs w:val="32"/>
          <w:highlight w:val="none"/>
          <w:lang w:val="en-US" w:eastAsia="zh-CN"/>
        </w:rPr>
        <w:t>-医疗器械注册证支持计划申请书</w:t>
      </w:r>
      <w:r>
        <w:rPr>
          <w:rFonts w:hint="eastAsia" w:ascii="仿宋_GB2312" w:hAnsi="仿宋_GB2312" w:eastAsia="仿宋_GB2312" w:cs="仿宋_GB2312"/>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highlight w:val="none"/>
          <w:lang w:eastAsia="zh-CN"/>
        </w:rPr>
        <w:t>区企业发展服务中心受理</w:t>
      </w:r>
      <w:r>
        <w:rPr>
          <w:rFonts w:hint="eastAsia" w:ascii="仿宋_GB2312" w:hAnsi="仿宋_GB2312" w:eastAsia="仿宋_GB2312" w:cs="仿宋_GB2312"/>
          <w:kern w:val="2"/>
          <w:sz w:val="32"/>
          <w:szCs w:val="32"/>
          <w:highlight w:val="none"/>
          <w:lang w:eastAsia="zh-CN"/>
        </w:rPr>
        <w:t>申请，对申报材料进行形式性审核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复审申报材料；</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区统计局对申报主体数据申报情况进行核查，区企业发展服务中心组织对申报主体的在地经营情况、不良信用记录等情况进行核查；</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区企业发展服务中心将拟资助项目向社会公示5个工作日，对公示期满，无有效投诉的项目资助计划，</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按照相应审核程序提交审议；</w:t>
      </w:r>
    </w:p>
    <w:p>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经审议后，由</w:t>
      </w:r>
      <w:r>
        <w:rPr>
          <w:rFonts w:hint="eastAsia" w:ascii="仿宋_GB2312" w:hAnsi="仿宋_GB2312" w:eastAsia="仿宋_GB2312" w:cs="仿宋_GB2312"/>
          <w:sz w:val="32"/>
          <w:szCs w:val="32"/>
          <w:highlight w:val="none"/>
          <w:lang w:val="en-US" w:eastAsia="zh-CN"/>
        </w:rPr>
        <w:t>区科技创新局行文</w:t>
      </w:r>
      <w:r>
        <w:rPr>
          <w:rFonts w:hint="eastAsia" w:ascii="仿宋_GB2312" w:hAnsi="仿宋_GB2312" w:eastAsia="仿宋_GB2312" w:cs="仿宋_GB2312"/>
          <w:sz w:val="32"/>
          <w:szCs w:val="32"/>
          <w:highlight w:val="none"/>
          <w:lang w:eastAsia="zh-CN"/>
        </w:rPr>
        <w:t>下达资金计划；</w:t>
      </w:r>
    </w:p>
    <w:p>
      <w:pPr>
        <w:pStyle w:val="12"/>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ascii="Times New Roman" w:hAnsi="Times New Roman" w:eastAsia="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区财政部门及时安排资金，</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对受理项目办理资金拨付手续。</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Times New Roman" w:hAnsi="Times New Roman" w:eastAsia="黑体"/>
          <w:bCs/>
          <w:kern w:val="2"/>
          <w:sz w:val="32"/>
          <w:szCs w:val="32"/>
          <w:highlight w:val="none"/>
          <w:lang w:eastAsia="zh-CN" w:bidi="ar-SA"/>
        </w:rPr>
      </w:pPr>
      <w:r>
        <w:rPr>
          <w:rFonts w:hint="default" w:ascii="Times New Roman" w:hAnsi="Times New Roman"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仿宋_GB2312" w:hAnsi="ˎ̥" w:eastAsia="仿宋_GB2312" w:cs="宋体"/>
          <w:sz w:val="32"/>
          <w:szCs w:val="32"/>
          <w:highlight w:val="none"/>
          <w:lang w:eastAsia="zh-CN" w:bidi="ar-SA"/>
        </w:rPr>
        <w:t>（一）《项目申请书》（登录“Ai南山企业服务综合平台”https://www.inanshan.org.cn/在线填写，法定代表人签字并加盖单位公章后，原件彩色扫描成PDF文件上传）</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（二）统一社会信用代码证书（原件彩色扫描成PDF文件上传）；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（三）法定代表人身份证[原件（或复印件加盖单位公章）彩色扫描成PDF文件上传]；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default" w:ascii="仿宋_GB2312" w:eastAsia="仿宋_GB2312"/>
          <w:strike/>
          <w:color w:val="auto"/>
          <w:sz w:val="32"/>
          <w:szCs w:val="32"/>
          <w:highlight w:val="none"/>
          <w:lang w:eastAsia="zh-CN"/>
        </w:rPr>
      </w:pPr>
      <w:r>
        <w:rPr>
          <w:rFonts w:hint="eastAsia" w:ascii="仿宋_GB2312" w:hAnsi="ˎ̥" w:eastAsia="仿宋_GB2312" w:cs="宋体"/>
          <w:sz w:val="32"/>
          <w:szCs w:val="32"/>
          <w:highlight w:val="none"/>
          <w:lang w:eastAsia="zh-CN" w:bidi="ar-SA"/>
        </w:rPr>
        <w:t>（四）申报主体由税务部门开具的单位上年度纳税证明（上传税务系统下载带有税务机关红色印章的电子版，事业单位除外)；</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特别审查程序</w:t>
      </w:r>
      <w:r>
        <w:rPr>
          <w:rFonts w:hint="eastAsia" w:ascii="仿宋_GB2312" w:hAnsi="仿宋_GB2312" w:eastAsia="仿宋_GB2312" w:cs="仿宋_GB2312"/>
          <w:sz w:val="32"/>
          <w:szCs w:val="32"/>
          <w:highlight w:val="none"/>
          <w:lang w:eastAsia="zh-CN"/>
        </w:rPr>
        <w:t>医疗器械需提交</w:t>
      </w:r>
      <w:r>
        <w:rPr>
          <w:rFonts w:hint="eastAsia" w:ascii="仿宋_GB2312" w:hAnsi="仿宋_GB2312" w:eastAsia="仿宋_GB2312" w:cs="仿宋_GB2312"/>
          <w:sz w:val="32"/>
          <w:szCs w:val="32"/>
          <w:highlight w:val="none"/>
        </w:rPr>
        <w:t>材料：医疗器械注册证书（首次注册）清单（含注册人名称、注册人住所、生产地址、产品名称、注册证编号、批准日期）、医疗器械注册证、向国家或省业务主管部门提交的特别审查申请表、国家或省业务主管部门出具的同意进行特别审查的相关证明材料</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对已获得生产许可证的，需提交</w:t>
      </w:r>
      <w:r>
        <w:rPr>
          <w:rFonts w:hint="eastAsia" w:ascii="仿宋_GB2312" w:hAnsi="仿宋_GB2312" w:eastAsia="仿宋_GB2312" w:cs="仿宋_GB2312"/>
          <w:sz w:val="32"/>
          <w:szCs w:val="32"/>
          <w:highlight w:val="none"/>
        </w:rPr>
        <w:t>对应的医疗器械生产许可证与医疗器械生产产品登记表（原件彩色扫描成PDF文件上传）</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一般程序</w:t>
      </w:r>
      <w:r>
        <w:rPr>
          <w:rFonts w:hint="eastAsia" w:ascii="仿宋_GB2312" w:hAnsi="仿宋_GB2312" w:eastAsia="仿宋_GB2312" w:cs="仿宋_GB2312"/>
          <w:sz w:val="32"/>
          <w:szCs w:val="32"/>
          <w:highlight w:val="none"/>
          <w:lang w:eastAsia="zh-CN"/>
        </w:rPr>
        <w:t>医疗器械需提交</w:t>
      </w:r>
      <w:r>
        <w:rPr>
          <w:rFonts w:hint="eastAsia" w:ascii="仿宋_GB2312" w:hAnsi="仿宋_GB2312" w:eastAsia="仿宋_GB2312" w:cs="仿宋_GB2312"/>
          <w:sz w:val="32"/>
          <w:szCs w:val="32"/>
          <w:highlight w:val="none"/>
        </w:rPr>
        <w:t>材料：医疗器械注册证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对应的医疗器械生产许可证与医疗器械生产产品登记表（原件彩色扫描成PDF文件上传）</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其他材料。</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负责解释，自发布之日起施行。</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480" w:firstLineChars="200"/>
        <w:jc w:val="both"/>
        <w:rPr>
          <w:highlight w:val="none"/>
        </w:rPr>
      </w:pPr>
    </w:p>
    <w:sectPr>
      <w:headerReference r:id="rId3" w:type="default"/>
      <w:footerReference r:id="rId4" w:type="default"/>
      <w:footerReference r:id="rId5" w:type="even"/>
      <w:pgSz w:w="11906" w:h="16838"/>
      <w:pgMar w:top="1984" w:right="1361"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roman"/>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A0F3C52"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margin-top:-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5" o:spid="_x0000_s4115" o:spt="136" type="#_x0000_t136" style="position:absolute;left:0pt;margin-top:8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6" o:spid="_x0000_s4116" o:spt="136" type="#_x0000_t136" style="position:absolute;left:0pt;margin-top: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7" o:spid="_x0000_s4117" o:spt="136" type="#_x0000_t136" style="position:absolute;left:0pt;margin-top:10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8" o:spid="_x0000_s4118" o:spt="136" type="#_x0000_t136" style="position:absolute;left:0pt;margin-top:11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9" o:spid="_x0000_s4119" o:spt="136" type="#_x0000_t136" style="position:absolute;left:0pt;margin-top:12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0" o:spid="_x0000_s4120" o:spt="136" type="#_x0000_t136" style="position:absolute;left:0pt;margin-top:13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1" o:spid="_x0000_s4121" o:spt="136" type="#_x0000_t136" style="position:absolute;left:0pt;margin-top:14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2" o:spid="_x0000_s4122" o:spt="136" type="#_x0000_t136" style="position:absolute;left:0pt;margin-top:15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3" o:spid="_x0000_s4123" o:spt="136" type="#_x0000_t136" style="position:absolute;left:0pt;margin-top:16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4" o:spid="_x0000_s4124" o:spt="136" type="#_x0000_t136" style="position:absolute;left:0pt;margin-top:17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5" o:spid="_x0000_s4125" o:spt="136" type="#_x0000_t136" style="position:absolute;left:0pt;margin-top:18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6" o:spid="_x0000_s4126" o:spt="136" type="#_x0000_t136" style="position:absolute;left:0pt;margin-top:1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D43A3"/>
    <w:multiLevelType w:val="singleLevel"/>
    <w:tmpl w:val="77FD43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248D"/>
    <w:rsid w:val="12950A7E"/>
    <w:rsid w:val="17F74901"/>
    <w:rsid w:val="21E178E4"/>
    <w:rsid w:val="23F1CDFD"/>
    <w:rsid w:val="2FAF1692"/>
    <w:rsid w:val="2FDC25B1"/>
    <w:rsid w:val="321369F5"/>
    <w:rsid w:val="3355287C"/>
    <w:rsid w:val="34C2508A"/>
    <w:rsid w:val="375E51B5"/>
    <w:rsid w:val="37BFA543"/>
    <w:rsid w:val="37FF6CD7"/>
    <w:rsid w:val="3AAD3E68"/>
    <w:rsid w:val="3AFC88D9"/>
    <w:rsid w:val="3B9EDD11"/>
    <w:rsid w:val="3EF77CBF"/>
    <w:rsid w:val="3F774AE9"/>
    <w:rsid w:val="3FF77151"/>
    <w:rsid w:val="42D23334"/>
    <w:rsid w:val="46463D9A"/>
    <w:rsid w:val="4BE90D8A"/>
    <w:rsid w:val="4BFD8D6C"/>
    <w:rsid w:val="53CF47A5"/>
    <w:rsid w:val="53FF9C7C"/>
    <w:rsid w:val="59FB25B1"/>
    <w:rsid w:val="5B3D0F56"/>
    <w:rsid w:val="5D3EE2A3"/>
    <w:rsid w:val="5D774B95"/>
    <w:rsid w:val="5FE13317"/>
    <w:rsid w:val="5FF7132B"/>
    <w:rsid w:val="657D2A84"/>
    <w:rsid w:val="66D70EB3"/>
    <w:rsid w:val="68BC0B3C"/>
    <w:rsid w:val="6BED0ABA"/>
    <w:rsid w:val="6F8D2C61"/>
    <w:rsid w:val="6F956833"/>
    <w:rsid w:val="6FF6B502"/>
    <w:rsid w:val="767465D8"/>
    <w:rsid w:val="76ACE928"/>
    <w:rsid w:val="76F66199"/>
    <w:rsid w:val="77E35C81"/>
    <w:rsid w:val="7A9FDC93"/>
    <w:rsid w:val="7B2E41A1"/>
    <w:rsid w:val="7BDD27BA"/>
    <w:rsid w:val="7DBFB3A6"/>
    <w:rsid w:val="7DDC6FC4"/>
    <w:rsid w:val="7E72B1E4"/>
    <w:rsid w:val="7EBD77DE"/>
    <w:rsid w:val="7F0F514B"/>
    <w:rsid w:val="7F8C933C"/>
    <w:rsid w:val="7FAC5602"/>
    <w:rsid w:val="7FFF942D"/>
    <w:rsid w:val="7FFFB81C"/>
    <w:rsid w:val="94FDEB09"/>
    <w:rsid w:val="9CF95E90"/>
    <w:rsid w:val="9FCDC1CD"/>
    <w:rsid w:val="9FFF7377"/>
    <w:rsid w:val="AFBB5E04"/>
    <w:rsid w:val="BAFF6DD0"/>
    <w:rsid w:val="BB424E27"/>
    <w:rsid w:val="BBDFCD3B"/>
    <w:rsid w:val="BCEF32F4"/>
    <w:rsid w:val="BDDFD193"/>
    <w:rsid w:val="BFB7B65F"/>
    <w:rsid w:val="BFFD5473"/>
    <w:rsid w:val="BFFE3021"/>
    <w:rsid w:val="BFFF17A6"/>
    <w:rsid w:val="C45F660F"/>
    <w:rsid w:val="DEAE12D1"/>
    <w:rsid w:val="DEFCE6FB"/>
    <w:rsid w:val="E7BD0835"/>
    <w:rsid w:val="EB4DB1AB"/>
    <w:rsid w:val="EB91EE88"/>
    <w:rsid w:val="ECFD3C28"/>
    <w:rsid w:val="EDFF857A"/>
    <w:rsid w:val="EEFBDAA2"/>
    <w:rsid w:val="EF6F16E4"/>
    <w:rsid w:val="F13A8982"/>
    <w:rsid w:val="F5FF49C0"/>
    <w:rsid w:val="F7DB506A"/>
    <w:rsid w:val="F7F586ED"/>
    <w:rsid w:val="FBB7DE9A"/>
    <w:rsid w:val="FBEF8CBB"/>
    <w:rsid w:val="FCDD8FD9"/>
    <w:rsid w:val="FDFBD146"/>
    <w:rsid w:val="FEDFA9CB"/>
    <w:rsid w:val="FFAF423A"/>
    <w:rsid w:val="FFF97BA8"/>
    <w:rsid w:val="FFFBCB05"/>
    <w:rsid w:val="FFFD3369"/>
    <w:rsid w:val="FFFD630C"/>
    <w:rsid w:val="FFF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rFonts w:ascii="Times New Roman" w:hAnsi="Times New Roman" w:eastAsia="宋体" w:cs="Times New Roman"/>
      <w:sz w:val="21"/>
      <w:szCs w:val="21"/>
    </w:rPr>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font31"/>
    <w:basedOn w:val="9"/>
    <w:qFormat/>
    <w:uiPriority w:val="0"/>
    <w:rPr>
      <w:rFonts w:hint="eastAsia" w:ascii="宋体" w:hAnsi="宋体" w:eastAsia="宋体" w:cs="宋体"/>
      <w:b/>
      <w:bCs/>
      <w:color w:val="000000"/>
      <w:sz w:val="22"/>
      <w:szCs w:val="22"/>
      <w:u w:val="none"/>
    </w:rPr>
  </w:style>
  <w:style w:type="paragraph" w:customStyle="1" w:styleId="14">
    <w:name w:val="&quot;【正文】&quot;"/>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5">
    <w:name w:val="&quot;样式2&quot;"/>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6">
    <w:name w:val="&quot;正文1&quot;"/>
    <w:qFormat/>
    <w:uiPriority w:val="0"/>
    <w:pPr>
      <w:spacing w:after="0"/>
      <w:jc w:val="both"/>
    </w:pPr>
    <w:rPr>
      <w:rFonts w:ascii="等线" w:hAnsi="等线" w:eastAsia="宋体" w:cs="宋体"/>
      <w:kern w:val="2"/>
      <w:sz w:val="21"/>
      <w:szCs w:val="21"/>
      <w:lang w:val="en-US" w:eastAsia="zh-CN" w:bidi="ar-SA"/>
    </w:rPr>
  </w:style>
  <w:style w:type="paragraph" w:customStyle="1" w:styleId="17">
    <w:name w:val="&quot;【正文】&quot;1"/>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8">
    <w:name w:val="&quot;样式2&quot;1"/>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9">
    <w:name w:val="&quot;正文1&quot;1"/>
    <w:qFormat/>
    <w:uiPriority w:val="0"/>
    <w:pPr>
      <w:spacing w:after="0"/>
      <w:jc w:val="both"/>
    </w:pPr>
    <w:rPr>
      <w:rFonts w:ascii="等线" w:hAnsi="等线" w:eastAsia="宋体" w:cs="宋体"/>
      <w:kern w:val="2"/>
      <w:sz w:val="21"/>
      <w:szCs w:val="21"/>
      <w:lang w:val="en-US" w:eastAsia="zh-CN" w:bidi="ar-SA"/>
    </w:rPr>
  </w:style>
  <w:style w:type="paragraph" w:customStyle="1" w:styleId="20">
    <w:name w:val="&quot;【正文】&quot;2"/>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1">
    <w:name w:val="&quot;样式2&quot;2"/>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2">
    <w:name w:val="&quot;正文1&quot;2"/>
    <w:qFormat/>
    <w:uiPriority w:val="0"/>
    <w:pPr>
      <w:spacing w:after="0"/>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2318</Words>
  <Characters>2436</Characters>
  <Paragraphs>103</Paragraphs>
  <TotalTime>0</TotalTime>
  <ScaleCrop>false</ScaleCrop>
  <LinksUpToDate>false</LinksUpToDate>
  <CharactersWithSpaces>2436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2024-06-06T23:22:00Z</dcterms:created>
  <dc:creator>张思敏</dc:creator>
  <cp:lastModifiedBy>黄晓昕</cp:lastModifiedBy>
  <cp:lastPrinted>2025-10-16T00:40:00Z</cp:lastPrinted>
  <dcterms:modified xsi:type="dcterms:W3CDTF">2025-11-12T16:27:17Z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