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3458C">
      <w:pPr>
        <w:pStyle w:val="2"/>
        <w:keepNext w:val="0"/>
        <w:keepLines w:val="0"/>
        <w:widowControl/>
        <w:suppressLineNumbers w:val="0"/>
        <w:spacing w:after="0" w:afterAutospacing="0" w:line="17" w:lineRule="atLeast"/>
        <w:ind w:left="0" w:right="0"/>
        <w:rPr>
          <w:color w:val="3A3B46"/>
          <w:spacing w:val="-22"/>
        </w:rPr>
      </w:pPr>
      <w:bookmarkStart w:id="0" w:name="_GoBack"/>
      <w:r>
        <w:rPr>
          <w:i w:val="0"/>
          <w:iCs w:val="0"/>
          <w:caps w:val="0"/>
          <w:color w:val="3A3B46"/>
          <w:spacing w:val="-22"/>
          <w:shd w:val="clear" w:fill="FFFFFF"/>
        </w:rPr>
        <w:t>新锐高成长企业人才奖励（潜在独角兽、独角兽、专精特新小巨人企业）</w:t>
      </w:r>
    </w:p>
    <w:bookmarkEnd w:id="0"/>
    <w:p w14:paraId="687C3617">
      <w:pPr>
        <w:pStyle w:val="4"/>
        <w:keepNext w:val="0"/>
        <w:keepLines w:val="0"/>
        <w:widowControl/>
        <w:suppressLineNumbers w:val="0"/>
        <w:spacing w:before="0" w:beforeAutospacing="0" w:after="0" w:afterAutospacing="0"/>
        <w:ind w:left="0" w:right="0"/>
        <w:rPr>
          <w:color w:val="A7ADB1"/>
          <w:spacing w:val="-11"/>
        </w:rPr>
      </w:pPr>
      <w:r>
        <w:rPr>
          <w:rFonts w:ascii="Helvetica" w:hAnsi="Helvetica" w:eastAsia="Helvetica" w:cs="Helvetica"/>
          <w:i w:val="0"/>
          <w:iCs w:val="0"/>
          <w:caps w:val="0"/>
          <w:color w:val="A7ADB1"/>
          <w:spacing w:val="-11"/>
          <w:sz w:val="21"/>
          <w:szCs w:val="21"/>
          <w:shd w:val="clear" w:fill="FFFFFF"/>
        </w:rPr>
        <w:t>受理时间：2025-11-14 14:40:00至2025-12-20 18:00:00</w:t>
      </w:r>
    </w:p>
    <w:p w14:paraId="0C3253A5">
      <w:pPr>
        <w:keepNext w:val="0"/>
        <w:keepLines w:val="0"/>
        <w:widowControl/>
        <w:suppressLineNumbers w:val="0"/>
        <w:pBdr>
          <w:bottom w:val="single" w:color="F9F9F9" w:sz="48" w:space="0"/>
          <w:right w:val="none" w:color="auto" w:sz="0" w:space="0"/>
        </w:pBdr>
        <w:shd w:val="clear" w:fill="FFFFFF"/>
        <w:spacing w:after="0" w:afterAutospacing="0"/>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在线申报 收藏</w:t>
      </w:r>
    </w:p>
    <w:p w14:paraId="74624DFD">
      <w:pPr>
        <w:pStyle w:val="7"/>
      </w:pPr>
      <w:r>
        <w:t>窗体顶端</w:t>
      </w:r>
    </w:p>
    <w:p w14:paraId="295732C9">
      <w:pPr>
        <w:pStyle w:val="8"/>
      </w:pPr>
      <w:r>
        <w:t>窗体底端</w:t>
      </w:r>
    </w:p>
    <w:p w14:paraId="7A625691">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项目说明</w:t>
      </w:r>
    </w:p>
    <w:p w14:paraId="779678A8">
      <w:pPr>
        <w:pStyle w:val="4"/>
        <w:keepNext w:val="0"/>
        <w:keepLines w:val="0"/>
        <w:widowControl/>
        <w:suppressLineNumbers w:val="0"/>
        <w:spacing w:before="0"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【政策内容】</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对上年度获得潜在独角兽、独角兽以及专精特新小巨人认定的企业及新锐创业团队企业，给予同一家企业（机构）核心团队最高60万元奖励。同一家企业（机构）一年内最多申报3人。</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【支持事项】</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（一）资金支持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1、符合新锐创业团队项目条件，给予人才奖励5万元/人。最多可申报2人。同一企业仅支持一次。</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2、符合潜在独角兽项目条件，给予人才奖励5万元/人。最多可申报3人。同一企业仅支持一次。</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3、符合独角兽项目条件，给予人才奖励10万元/人。最多可申报3人。同一企业仅支持一次。</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4、符合专精特新小巨人项目条件，给予人才奖励10万元/人。最多可申报3人。同一企业仅支持一次。</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5、同时符合独角兽项目和专精特新小巨人项目条件，给予人才奖励20万元/人。最多可申报3人。同一企业仅支持一次。</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由潜在独角兽升级为独角兽按相应标准追加差额支持。同一家企业当年满足多个条件的，仅可选择一项申报，新锐团队不能与其他项目同时申请。</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（二）福田英才认定</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申请人可以根据政策内容、按自愿原则申请福田英才认定，支持金额达20万元可申请认定为Ⅲ类英才。</w:t>
      </w:r>
    </w:p>
    <w:p w14:paraId="7364C5CC">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申报条件及支持额度</w:t>
      </w:r>
    </w:p>
    <w:p w14:paraId="6DC35AE0">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【申报对象及条件】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 新锐创业团队</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1、申请人所在单位的条件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以下（1）至（3）为必须满足的条件；（4）至（5）须满足其一：</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（1）申请人所在单位原则上应为在福田区依法实际经营1年以上且不超过3年的独立法人企业（机构）。</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（2）经营范围符合福田区鼓励发展产业方向的科技创新创业企业。</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（3）经营的项目入选深圳市鲲鹏青年创新创业项目库。</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（4）上一年度获得省级（含副省级城市和计划单列市）以上创新创业赛事三等奖及以上奖项。</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（5）上一年度获得投资机构（投资机构需在中基协备案）投资100万元及以上的企业。</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2、申请人的条件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（1）申请人须为企业法人代表、董事长、总经理、副总经理、财务总监、技术总监等核心高管。</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（2）申请人所在企业须为其在福田区连续代扣代缴个人所得税或社会保险1年以上，诚信守法，无违法犯罪和不良记录。</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（二）潜在独角兽、独角兽以及专精特新小巨人企业</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1、申请人所在单位的条件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（1）申请人所在单位原则上应为在福田区依法实际经营一年以上的独立法人企业（机构）。</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（2）上年度获得上级工信部门遴选认定或入选权威机构榜单（胡润、长城战略咨询）的潜在独角兽、独角兽、专精特新小巨人企业。</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2、申请人的条件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（1）申请人职务须为核心团队成员，如企业董事长、总经理、副总经理、研发总监、财务总监、部门负责人等。</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（2）申请人所在单位须为其在福田区连续代扣代缴个人所得税或社会保险1年以上，诚信守法，无违法犯罪和不良记录。</w:t>
      </w:r>
    </w:p>
    <w:p w14:paraId="6AD1086A">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联系方式</w:t>
      </w:r>
    </w:p>
    <w:p w14:paraId="1D315847">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0755-23949461</w:t>
      </w:r>
    </w:p>
    <w:p w14:paraId="36D731DD">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申请材料</w:t>
      </w:r>
    </w:p>
    <w:p w14:paraId="2CCD91B8">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材料清单，请严格按照要求准备并提交材料</w:t>
      </w:r>
    </w:p>
    <w:tbl>
      <w:tblPr>
        <w:tblStyle w:val="5"/>
        <w:tblW w:w="0" w:type="auto"/>
        <w:tblInd w:w="0" w:type="dxa"/>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22"/>
        <w:gridCol w:w="525"/>
        <w:gridCol w:w="816"/>
        <w:gridCol w:w="2904"/>
        <w:gridCol w:w="372"/>
        <w:gridCol w:w="397"/>
      </w:tblGrid>
      <w:tr w14:paraId="49B767D2">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0" w:type="auto"/>
            <w:tcBorders>
              <w:top w:val="nil"/>
              <w:left w:val="single" w:color="D6DEE7" w:sz="6" w:space="0"/>
              <w:bottom w:val="single" w:color="D6DEE7" w:sz="6" w:space="0"/>
              <w:right w:val="single" w:color="D6DEE7" w:sz="6" w:space="0"/>
            </w:tcBorders>
            <w:shd w:val="clear" w:color="auto" w:fill="auto"/>
            <w:vAlign w:val="bottom"/>
          </w:tcPr>
          <w:p w14:paraId="3A6DC48A">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材料名称</w:t>
            </w:r>
          </w:p>
        </w:tc>
        <w:tc>
          <w:tcPr>
            <w:tcW w:w="0" w:type="auto"/>
            <w:tcBorders>
              <w:top w:val="nil"/>
              <w:left w:val="single" w:color="D6DEE7" w:sz="6" w:space="0"/>
              <w:bottom w:val="single" w:color="D6DEE7" w:sz="6" w:space="0"/>
              <w:right w:val="single" w:color="D6DEE7" w:sz="6" w:space="0"/>
            </w:tcBorders>
            <w:shd w:val="clear" w:color="auto" w:fill="auto"/>
            <w:vAlign w:val="bottom"/>
          </w:tcPr>
          <w:p w14:paraId="4A2D583E">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材料出具单位</w:t>
            </w:r>
          </w:p>
        </w:tc>
        <w:tc>
          <w:tcPr>
            <w:tcW w:w="0" w:type="auto"/>
            <w:tcBorders>
              <w:top w:val="nil"/>
              <w:left w:val="single" w:color="D6DEE7" w:sz="6" w:space="0"/>
              <w:bottom w:val="single" w:color="D6DEE7" w:sz="6" w:space="0"/>
              <w:right w:val="single" w:color="D6DEE7" w:sz="6" w:space="0"/>
            </w:tcBorders>
            <w:shd w:val="clear" w:color="auto" w:fill="auto"/>
            <w:vAlign w:val="bottom"/>
          </w:tcPr>
          <w:p w14:paraId="3B893EC5">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材料形式</w:t>
            </w:r>
          </w:p>
        </w:tc>
        <w:tc>
          <w:tcPr>
            <w:tcW w:w="0" w:type="auto"/>
            <w:tcBorders>
              <w:top w:val="nil"/>
              <w:left w:val="single" w:color="D6DEE7" w:sz="6" w:space="0"/>
              <w:bottom w:val="single" w:color="D6DEE7" w:sz="6" w:space="0"/>
              <w:right w:val="single" w:color="D6DEE7" w:sz="6" w:space="0"/>
            </w:tcBorders>
            <w:shd w:val="clear" w:color="auto" w:fill="auto"/>
            <w:vAlign w:val="bottom"/>
          </w:tcPr>
          <w:p w14:paraId="4BF6D02A">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详细要求</w:t>
            </w:r>
          </w:p>
        </w:tc>
        <w:tc>
          <w:tcPr>
            <w:tcW w:w="0" w:type="auto"/>
            <w:tcBorders>
              <w:top w:val="nil"/>
              <w:left w:val="single" w:color="D6DEE7" w:sz="6" w:space="0"/>
              <w:bottom w:val="single" w:color="D6DEE7" w:sz="6" w:space="0"/>
              <w:right w:val="single" w:color="D6DEE7" w:sz="6" w:space="0"/>
            </w:tcBorders>
            <w:shd w:val="clear" w:color="auto" w:fill="auto"/>
            <w:vAlign w:val="bottom"/>
          </w:tcPr>
          <w:p w14:paraId="5060F2BE">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必要性</w:t>
            </w:r>
          </w:p>
        </w:tc>
        <w:tc>
          <w:tcPr>
            <w:tcW w:w="0" w:type="auto"/>
            <w:tcBorders>
              <w:top w:val="nil"/>
              <w:left w:val="single" w:color="D6DEE7" w:sz="6" w:space="0"/>
              <w:bottom w:val="single" w:color="D6DEE7" w:sz="6" w:space="0"/>
              <w:right w:val="single" w:color="D6DEE7" w:sz="6" w:space="0"/>
            </w:tcBorders>
            <w:shd w:val="clear" w:color="auto" w:fill="auto"/>
            <w:vAlign w:val="bottom"/>
          </w:tcPr>
          <w:p w14:paraId="7C5ECE24">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操作</w:t>
            </w:r>
          </w:p>
        </w:tc>
      </w:tr>
      <w:tr w14:paraId="6EBD8A91">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3987301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福田英才荟政策申请表（企业）</w:t>
            </w: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06A1B960">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78083E8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w:t>
            </w: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720727B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在项目申报页面将基本信息填写完毕后点击上传申报材料列表上方的【打印申请表】按钮，打印盖章后扫描上传</w:t>
            </w: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490AFE0E">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4D2BE3D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506B6775">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15F68ED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福田英才荟新锐高成长企业人才奖励申请表（附件1）</w:t>
            </w: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2089A2DB">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11E47AA7">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原件（签字盖章）</w:t>
            </w: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3744FADC">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5B7CA386">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74C651A3">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lang w:val="en-US" w:eastAsia="zh-CN" w:bidi="ar"/>
              </w:rPr>
              <w:t>模板下载</w:t>
            </w:r>
          </w:p>
        </w:tc>
      </w:tr>
      <w:tr w14:paraId="3DFB7865">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58991018">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申请单位证照（“三证合一”营业执照）</w:t>
            </w: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16CFA312">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7AA0767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复印件（盖公章）</w:t>
            </w: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2816CABB">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04C6A2A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6AEEEF9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04FCF22C">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20CAFC0C">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税务部门出具的申请企业上一年度在福田纳税证明</w:t>
            </w: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5151F2F9">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7E07D230">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原件（盖章）</w:t>
            </w: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20A17216">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7F021A8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7FD6171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0EB28A6F">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1E49711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申请人身份证（港澳台提供港澳台通行证，外籍人士提供护照)</w:t>
            </w: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2C4E8142">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3ADBC8B1">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复印件（盖公章）</w:t>
            </w: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21BB6037">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3DCEA96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31EDF9D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5041F2D1">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41D51EFF">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申请人在申请单位近六个月的社保清单或个税清单</w:t>
            </w: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39FE9D1E">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0DB3A4F7">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原件（盖章）</w:t>
            </w: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7101282A">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3A082206">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501AAE91">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3A98AF9E">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36D8E7DC">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申请对象的银行卡正反面复印件 （复印件上需手抄开户行、银行账号）</w:t>
            </w: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17CC66B3">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4BC55116">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复印件（盖章）</w:t>
            </w: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273F42C8">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3624EBF7">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75DD6EF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393191B7">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3C815A9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申请人的在职证明材料，含工作内容介绍。（附件2）</w:t>
            </w: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31C5CFC3">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369E26D1">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原件（盖章）</w:t>
            </w: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371A00EB">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567DE02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1FB8BFD8">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lang w:val="en-US" w:eastAsia="zh-CN" w:bidi="ar"/>
              </w:rPr>
              <w:t>模板下载</w:t>
            </w:r>
          </w:p>
        </w:tc>
      </w:tr>
      <w:tr w14:paraId="750F32F0">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489DA0B0">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奖励人员信息汇总表（包含WORD版和PDF盖章签名版本）（附件3）</w:t>
            </w: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74F47CFF">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29EFBFE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原件（盖章）</w:t>
            </w: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7B9DC892">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2D511D3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1400DD66">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lang w:val="en-US" w:eastAsia="zh-CN" w:bidi="ar"/>
              </w:rPr>
              <w:t>模板下载</w:t>
            </w:r>
          </w:p>
        </w:tc>
      </w:tr>
      <w:tr w14:paraId="1F94F7A8">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5B17EF9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获得潜在独角兽、独角兽、专精特新小巨人相关资质的证明材料,如权威榜单的截图或官方网站公告截图或相关资质证书。</w:t>
            </w: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62C67F2E">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3323910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复印件（盖章）</w:t>
            </w: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0BFB8A55">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6DC62CB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463F1F08">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3B301563">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2BC9DE7C">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福田英才推荐名单信息表（附件4）</w:t>
            </w: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4FFB41E7">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02FA47F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原件（盖章）</w:t>
            </w: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48C29627">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福田英才认定所需材料。</w:t>
            </w: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1C009280">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5210C6C4">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lang w:val="en-US" w:eastAsia="zh-CN" w:bidi="ar"/>
              </w:rPr>
              <w:t>模板下载</w:t>
            </w:r>
          </w:p>
        </w:tc>
      </w:tr>
      <w:tr w14:paraId="16D5A426">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6244379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英才荟经办人授权备案表</w:t>
            </w: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011A0063">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4493F71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原件（盖公章）</w:t>
            </w: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647A3C3B">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3B9146A8">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0F05F2AE">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lang w:val="en-US" w:eastAsia="zh-CN" w:bidi="ar"/>
              </w:rPr>
              <w:t>模板下载</w:t>
            </w:r>
          </w:p>
        </w:tc>
      </w:tr>
      <w:tr w14:paraId="0BF71350">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2AE0E54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福田区主管部门要求提供的其他必要材料</w:t>
            </w: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643CAA24">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77064E7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按要求提供</w:t>
            </w: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2F24560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申请材料需全部上传电子文档，电子文档的命名与材料名称一致</w:t>
            </w: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07F726E5">
            <w:pPr>
              <w:jc w:val="center"/>
              <w:rPr>
                <w:rFonts w:hint="eastAsia" w:ascii="宋体"/>
                <w:color w:val="666A75"/>
                <w:sz w:val="24"/>
                <w:szCs w:val="24"/>
              </w:rPr>
            </w:pPr>
          </w:p>
        </w:tc>
        <w:tc>
          <w:tcPr>
            <w:tcW w:w="0" w:type="auto"/>
            <w:tcBorders>
              <w:top w:val="single" w:color="D6DEE7" w:sz="6" w:space="0"/>
              <w:left w:val="single" w:color="D6DEE7" w:sz="6" w:space="0"/>
              <w:bottom w:val="single" w:color="D6DEE7" w:sz="6" w:space="0"/>
              <w:right w:val="single" w:color="D6DEE7" w:sz="6" w:space="0"/>
            </w:tcBorders>
            <w:shd w:val="clear" w:color="auto" w:fill="auto"/>
            <w:vAlign w:val="center"/>
          </w:tcPr>
          <w:p w14:paraId="029642D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bl>
    <w:p w14:paraId="2A715AB5">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拨付材料</w:t>
      </w:r>
    </w:p>
    <w:p w14:paraId="6D843B87">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暂无拨付材料</w:t>
      </w:r>
    </w:p>
    <w:p w14:paraId="3E129A57">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限制和除外</w:t>
      </w:r>
    </w:p>
    <w:p w14:paraId="4002CF9E">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暂无</w:t>
      </w:r>
    </w:p>
    <w:p w14:paraId="709897F2">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补充说明</w:t>
      </w:r>
    </w:p>
    <w:p w14:paraId="43BB091C">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【办理流程】</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（一）网上申请。申请人在福田区企业服务平台（https://qfzx.szft.gov.cn）注册、提交申请并上传相关资料。</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（二）预审。福田区科技和工业信息化局根据申请人提交的材料进行预审。</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（三）材料提交。在网上申请并接到预审通过短信通知后，将纸质材料提交至福田区行政服务大厅综合窗口。</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（四）审核确认。由福田区科技和工业信息化局负责审核。</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（五）公示。对审核通过的申请项目，在福田政府在线网站公示5个工作日。</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（六）拨款。对公示后无异议或异议不成立的申请对象，按照规定对审核通过的项目发放资金。</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（七）福田英才认定。福田区科技和工业信息化局根据申请人意愿，将符合条件的认定为福田英才，并报区人才工作局发放福田英才卡。</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【其他】</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（一）本指南政策项目资金量受本年度财政预算安排总量的控制和调整，且本指南所指支持资金为税前金额。</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申报单位及申报人对申报材料的真实性和准确性负责，如果出现弄虚作假及其它违规申报行为，追回本政策支持资金，单位及个人五年内不得申报福田区人才政策支持。触犯法律的，移交有权部门，依法追究法律责任。</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（三）本指南由福田区科技和工业信息化局负责解释。根据实际工作需要，福田区科技和工业信息化局有权对本指南部分内容进行修订，并及时向社会公布。</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（四）本指南有效期为自印发之日起，至2025年12月31日止。</w:t>
      </w:r>
    </w:p>
    <w:p w14:paraId="747D2BC1"/>
    <w:p w14:paraId="3A877B4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A1679F"/>
    <w:rsid w:val="2DA16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rPr>
      <w:sz w:val="24"/>
    </w:rPr>
  </w:style>
  <w:style w:type="paragraph" w:customStyle="1" w:styleId="7">
    <w:name w:val="_Style 6"/>
    <w:basedOn w:val="1"/>
    <w:next w:val="1"/>
    <w:uiPriority w:val="0"/>
    <w:pPr>
      <w:pBdr>
        <w:bottom w:val="single" w:color="auto" w:sz="6" w:space="1"/>
      </w:pBdr>
      <w:jc w:val="center"/>
    </w:pPr>
    <w:rPr>
      <w:rFonts w:ascii="Arial" w:eastAsia="宋体"/>
      <w:vanish/>
      <w:sz w:val="16"/>
    </w:rPr>
  </w:style>
  <w:style w:type="paragraph" w:customStyle="1" w:styleId="8">
    <w:name w:val="_Style 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2025-11-14T08:19:00Z</dcterms:created>
  <dc:creator>柒芪杞讫</dc:creator>
  <cp:lastModifiedBy>柒芪杞讫</cp:lastModifiedBy>
  <dcterms:modified xsi:type="dcterms:W3CDTF">2025-11-14T08:20:08Z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32B731F5BFE2448AB93443C399ECDCD6_11</vt:lpwstr>
  </property>
  <property fmtid="{D5CDD505-2E9C-101B-9397-08002B2CF9AE}" pid="4" name="KSOTemplateDocerSaveRecord">
    <vt:lpwstr>eyJoZGlkIjoiMmQyZjVhZDc4ZjVlYTAwNDU1NWViYjRiMWE2NWNhNmYiLCJ1c2VySWQiOiIxNjExOTc5NzE1In0=</vt:lpwstr>
  </property>
</Properties>
</file>