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widowControl/>
        <w:adjustRightInd w:val="0"/>
        <w:snapToGrid w:val="0"/>
        <w:spacing w:after="0" w:line="560" w:lineRule="exact"/>
        <w:rPr>
          <w:rFonts w:hint="eastAsia" w:ascii="方正小标宋_GBK" w:hAnsi="方正小标宋_GBK" w:eastAsia="方正小标宋_GBK" w:cs="方正小标宋_GBK"/>
          <w:b w:val="0"/>
          <w:bCs w:val="0"/>
          <w:color w:val="auto"/>
          <w:sz w:val="44"/>
          <w:szCs w:val="44"/>
          <w:highlight w:val="none"/>
          <w:lang w:val="en-US" w:eastAsia="zh-CN" w:bidi="ar"/>
        </w:rPr>
      </w:pPr>
      <w:bookmarkStart w:id="0" w:name="_Toc339958812"/>
      <w:bookmarkStart w:id="1" w:name="_Toc1638452509"/>
      <w:bookmarkStart w:id="2" w:name="_Toc482536087"/>
      <w:bookmarkStart w:id="3" w:name="_Toc31268929"/>
      <w:bookmarkStart w:id="4" w:name="_Toc469956681"/>
      <w:r>
        <w:rPr>
          <w:rFonts w:hint="eastAsia" w:ascii="方正小标宋_GBK" w:hAnsi="方正小标宋_GBK" w:eastAsia="方正小标宋_GBK" w:cs="方正小标宋_GBK"/>
          <w:b w:val="0"/>
          <w:bCs w:val="0"/>
          <w:color w:val="auto"/>
          <w:sz w:val="44"/>
          <w:szCs w:val="44"/>
          <w:highlight w:val="none"/>
          <w:lang w:val="en-US" w:eastAsia="zh-CN" w:bidi="ar"/>
        </w:rPr>
        <w:t>“零租加速营”空间支持行动-“零租</w:t>
      </w:r>
      <w:bookmarkEnd w:id="0"/>
    </w:p>
    <w:p>
      <w:pPr>
        <w:pStyle w:val="5"/>
        <w:keepNext/>
        <w:keepLines/>
        <w:widowControl/>
        <w:adjustRightInd w:val="0"/>
        <w:snapToGrid w:val="0"/>
        <w:spacing w:after="0" w:line="560" w:lineRule="exact"/>
        <w:rPr>
          <w:rFonts w:hint="eastAsia" w:ascii="方正小标宋_GBK" w:hAnsi="宋体" w:eastAsia="方正小标宋_GBK"/>
          <w:szCs w:val="44"/>
          <w:highlight w:val="none"/>
          <w:lang w:val="en-US" w:eastAsia="zh-CN"/>
        </w:rPr>
      </w:pPr>
      <w:bookmarkStart w:id="5" w:name="_Toc1215999142"/>
      <w:r>
        <w:rPr>
          <w:rFonts w:hint="eastAsia" w:ascii="方正小标宋_GBK" w:hAnsi="方正小标宋_GBK" w:eastAsia="方正小标宋_GBK" w:cs="方正小标宋_GBK"/>
          <w:b w:val="0"/>
          <w:bCs w:val="0"/>
          <w:color w:val="auto"/>
          <w:sz w:val="44"/>
          <w:szCs w:val="44"/>
          <w:highlight w:val="none"/>
          <w:lang w:val="en-US" w:eastAsia="zh-CN" w:bidi="ar"/>
        </w:rPr>
        <w:t>加速营”</w:t>
      </w:r>
      <w:bookmarkEnd w:id="1"/>
      <w:bookmarkStart w:id="6" w:name="_Toc1605175054"/>
      <w:r>
        <w:rPr>
          <w:rFonts w:hint="eastAsia" w:ascii="方正小标宋_GBK" w:hAnsi="方正小标宋_GBK" w:eastAsia="方正小标宋_GBK" w:cs="方正小标宋_GBK"/>
          <w:highlight w:val="none"/>
          <w:lang w:val="en-US" w:eastAsia="zh-CN"/>
        </w:rPr>
        <w:t>运营</w:t>
      </w:r>
      <w:bookmarkEnd w:id="2"/>
      <w:bookmarkEnd w:id="3"/>
      <w:bookmarkStart w:id="7" w:name="_Toc1613085930"/>
      <w:bookmarkStart w:id="8" w:name="_Toc1115804946"/>
      <w:r>
        <w:rPr>
          <w:rFonts w:hint="eastAsia" w:ascii="方正小标宋_GBK" w:hAnsi="方正小标宋_GBK" w:eastAsia="方正小标宋_GBK" w:cs="方正小标宋_GBK"/>
          <w:highlight w:val="none"/>
          <w:lang w:val="en-US" w:eastAsia="zh-CN"/>
        </w:rPr>
        <w:t>支持操作规程</w:t>
      </w:r>
      <w:bookmarkEnd w:id="5"/>
      <w:bookmarkEnd w:id="6"/>
      <w:bookmarkEnd w:id="7"/>
      <w:bookmarkEnd w:id="8"/>
    </w:p>
    <w:p>
      <w:pPr>
        <w:pStyle w:val="2"/>
        <w:keepNext w:val="0"/>
        <w:keepLines w:val="0"/>
        <w:pageBreakBefore w:val="0"/>
        <w:kinsoku/>
        <w:wordWrap/>
        <w:overflowPunct/>
        <w:topLinePunct w:val="0"/>
        <w:autoSpaceDE/>
        <w:autoSpaceDN/>
        <w:bidi w:val="0"/>
        <w:adjustRightInd/>
        <w:spacing w:after="0" w:line="560" w:lineRule="exact"/>
        <w:textAlignment w:val="auto"/>
        <w:rPr>
          <w:rFonts w:hint="default"/>
          <w:highlight w:val="none"/>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0" w:afterAutospacing="0" w:line="560" w:lineRule="exact"/>
        <w:ind w:firstLine="640"/>
        <w:jc w:val="both"/>
        <w:textAlignment w:val="auto"/>
        <w:rPr>
          <w:rFonts w:hint="eastAsia" w:ascii="黑体" w:hAnsi="黑体" w:eastAsia="黑体" w:cs="Calibri"/>
          <w:spacing w:val="8"/>
          <w:sz w:val="32"/>
          <w:szCs w:val="32"/>
          <w:highlight w:val="none"/>
        </w:rPr>
      </w:pPr>
      <w:r>
        <w:rPr>
          <w:rFonts w:hint="eastAsia" w:ascii="黑体" w:hAnsi="黑体" w:eastAsia="黑体" w:cs="黑体"/>
          <w:spacing w:val="8"/>
          <w:sz w:val="32"/>
          <w:szCs w:val="32"/>
          <w:highlight w:val="none"/>
          <w:shd w:val="clear" w:color="auto" w:fill="FFFFFF"/>
        </w:rPr>
        <w:t>一、政策内容</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0" w:afterAutospacing="0" w:line="560" w:lineRule="exact"/>
        <w:ind w:firstLine="64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对认定为“零租加速营”的系列空间给予每年最高200万元资助。</w:t>
      </w:r>
    </w:p>
    <w:p>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黑体" w:hAnsi="黑体" w:eastAsia="黑体" w:cs="黑体"/>
          <w:color w:val="auto"/>
          <w:kern w:val="0"/>
          <w:sz w:val="32"/>
          <w:szCs w:val="32"/>
          <w:highlight w:val="none"/>
          <w:lang w:bidi="ar"/>
        </w:rPr>
      </w:pPr>
      <w:bookmarkStart w:id="9" w:name="_Toc2023558500"/>
      <w:r>
        <w:rPr>
          <w:rFonts w:hint="eastAsia" w:ascii="黑体" w:hAnsi="黑体" w:eastAsia="黑体" w:cs="黑体"/>
          <w:color w:val="auto"/>
          <w:kern w:val="0"/>
          <w:sz w:val="32"/>
          <w:szCs w:val="32"/>
          <w:highlight w:val="none"/>
          <w:lang w:eastAsia="zh-CN" w:bidi="ar"/>
        </w:rPr>
        <w:t>二</w:t>
      </w:r>
      <w:r>
        <w:rPr>
          <w:rFonts w:hint="eastAsia" w:ascii="黑体" w:hAnsi="黑体" w:eastAsia="黑体" w:cs="黑体"/>
          <w:color w:val="auto"/>
          <w:kern w:val="0"/>
          <w:sz w:val="32"/>
          <w:szCs w:val="32"/>
          <w:highlight w:val="none"/>
          <w:lang w:bidi="ar"/>
        </w:rPr>
        <w:t>、资助标准</w:t>
      </w:r>
      <w:bookmarkEnd w:id="9"/>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lang w:val="en-US" w:eastAsia="zh-CN"/>
        </w:rPr>
        <w:t>对行业资质卓越、培育生态完善、运营模式创新、服务精细专业，被</w:t>
      </w:r>
      <w:r>
        <w:rPr>
          <w:rFonts w:hint="eastAsia" w:ascii="仿宋_GB2312" w:hAnsi="仿宋_GB2312" w:eastAsia="仿宋_GB2312" w:cs="仿宋_GB2312"/>
          <w:color w:val="auto"/>
          <w:kern w:val="2"/>
          <w:sz w:val="32"/>
          <w:szCs w:val="32"/>
          <w:highlight w:val="none"/>
          <w:lang w:val="en-US" w:eastAsia="zh-CN" w:bidi="ar-SA"/>
        </w:rPr>
        <w:t>认定为“零租加速营”系列空间的运营单位，结合免租租金、运营服务、平台建设等硬性支出，根据评审结果给予每空间每年最高200万元资助。</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0" w:afterAutospacing="0" w:line="560" w:lineRule="exact"/>
        <w:ind w:firstLine="640"/>
        <w:jc w:val="both"/>
        <w:textAlignment w:val="auto"/>
        <w:rPr>
          <w:rFonts w:hint="eastAsia" w:ascii="黑体" w:hAnsi="黑体" w:eastAsia="黑体" w:cs="黑体"/>
          <w:color w:val="auto"/>
          <w:spacing w:val="8"/>
          <w:sz w:val="32"/>
          <w:szCs w:val="32"/>
          <w:highlight w:val="none"/>
          <w:shd w:val="clear" w:color="auto" w:fill="FFFFFF"/>
        </w:rPr>
      </w:pPr>
      <w:r>
        <w:rPr>
          <w:rFonts w:hint="eastAsia" w:ascii="黑体" w:hAnsi="黑体" w:eastAsia="黑体" w:cs="黑体"/>
          <w:color w:val="auto"/>
          <w:spacing w:val="8"/>
          <w:sz w:val="32"/>
          <w:szCs w:val="32"/>
          <w:highlight w:val="none"/>
          <w:shd w:val="clear" w:color="auto" w:fill="FFFFFF"/>
          <w:lang w:eastAsia="zh-CN"/>
        </w:rPr>
        <w:t>三</w:t>
      </w:r>
      <w:r>
        <w:rPr>
          <w:rFonts w:hint="eastAsia" w:ascii="黑体" w:hAnsi="黑体" w:eastAsia="黑体" w:cs="黑体"/>
          <w:color w:val="auto"/>
          <w:spacing w:val="8"/>
          <w:sz w:val="32"/>
          <w:szCs w:val="32"/>
          <w:highlight w:val="none"/>
          <w:shd w:val="clear" w:color="auto" w:fill="FFFFFF"/>
        </w:rPr>
        <w:t>、设定依据</w:t>
      </w:r>
    </w:p>
    <w:p>
      <w:pPr>
        <w:pStyle w:val="2"/>
        <w:spacing w:after="0" w:line="560" w:lineRule="exact"/>
        <w:ind w:firstLine="640" w:firstLineChars="200"/>
        <w:rPr>
          <w:rFonts w:hint="default"/>
          <w:color w:val="0000FF"/>
          <w:highlight w:val="none"/>
          <w:lang w:val="en-US" w:eastAsia="zh-CN"/>
        </w:rPr>
      </w:pPr>
      <w:r>
        <w:rPr>
          <w:rFonts w:hint="eastAsia" w:ascii="仿宋_GB2312" w:hAnsi="仿宋_GB2312" w:eastAsia="仿宋_GB2312" w:cs="仿宋_GB2312"/>
          <w:color w:val="auto"/>
          <w:spacing w:val="0"/>
          <w:sz w:val="32"/>
          <w:szCs w:val="32"/>
          <w:highlight w:val="none"/>
          <w:shd w:val="clear"/>
        </w:rPr>
        <w:t>《南山区支持创新创业“六个一”行动方案》</w:t>
      </w:r>
    </w:p>
    <w:p>
      <w:pPr>
        <w:keepNext w:val="0"/>
        <w:keepLines w:val="0"/>
        <w:pageBreakBefore w:val="0"/>
        <w:numPr>
          <w:ilvl w:val="-1"/>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
        </w:rPr>
      </w:pPr>
      <w:r>
        <w:rPr>
          <w:rFonts w:hint="eastAsia" w:ascii="黑体" w:hAnsi="黑体" w:eastAsia="黑体" w:cs="黑体"/>
          <w:kern w:val="0"/>
          <w:sz w:val="32"/>
          <w:szCs w:val="32"/>
          <w:highlight w:val="none"/>
          <w:lang w:val="en-US" w:eastAsia="zh-CN" w:bidi="ar"/>
        </w:rPr>
        <w:t>四、</w:t>
      </w:r>
      <w:r>
        <w:rPr>
          <w:rFonts w:hint="eastAsia" w:ascii="黑体" w:hAnsi="黑体" w:eastAsia="黑体" w:cs="黑体"/>
          <w:kern w:val="0"/>
          <w:sz w:val="32"/>
          <w:szCs w:val="32"/>
          <w:highlight w:val="none"/>
          <w:lang w:bidi="ar"/>
        </w:rPr>
        <w:t>申报对象和条件</w:t>
      </w:r>
    </w:p>
    <w:p>
      <w:pPr>
        <w:keepNext w:val="0"/>
        <w:keepLines w:val="0"/>
        <w:pageBreakBefore w:val="0"/>
        <w:numPr>
          <w:ilvl w:val="0"/>
          <w:numId w:val="0"/>
        </w:numPr>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（一）申报单位在南山区依法经营，且目前运营不少于一处位于南山区的孵化载体，载体场地使用年限不低于两年；</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10" w:name="_Toc1666203623"/>
      <w:r>
        <w:rPr>
          <w:rFonts w:hint="eastAsia" w:ascii="仿宋_GB2312" w:hAnsi="仿宋_GB2312" w:eastAsia="仿宋_GB2312" w:cs="仿宋_GB2312"/>
          <w:color w:val="000000"/>
          <w:sz w:val="32"/>
          <w:szCs w:val="32"/>
          <w:highlight w:val="none"/>
          <w:lang w:val="en-US" w:eastAsia="zh-CN" w:bidi="ar"/>
        </w:rPr>
        <w:t>（二）</w:t>
      </w:r>
      <w:r>
        <w:rPr>
          <w:rFonts w:hint="eastAsia" w:ascii="仿宋_GB2312" w:hAnsi="仿宋_GB2312" w:eastAsia="仿宋_GB2312" w:cs="仿宋_GB2312"/>
          <w:sz w:val="32"/>
          <w:szCs w:val="32"/>
          <w:highlight w:val="none"/>
          <w:lang w:val="en-US" w:eastAsia="zh-CN"/>
        </w:rPr>
        <w:t>申报单位运营的载体能为入驻企业提供最低3-6个月的免租优惠，免租优惠空间</w:t>
      </w:r>
      <w:r>
        <w:rPr>
          <w:rFonts w:hint="eastAsia" w:ascii="仿宋_GB2312" w:hAnsi="仿宋_GB2312" w:eastAsia="仿宋_GB2312" w:cs="仿宋_GB2312"/>
          <w:color w:val="000000"/>
          <w:sz w:val="32"/>
          <w:szCs w:val="32"/>
          <w:highlight w:val="none"/>
          <w:lang w:val="en-US" w:eastAsia="zh-CN" w:bidi="ar"/>
        </w:rPr>
        <w:t>总计不少于500平方米，</w:t>
      </w:r>
      <w:r>
        <w:rPr>
          <w:rFonts w:hint="eastAsia" w:ascii="仿宋_GB2312" w:hAnsi="仿宋_GB2312" w:eastAsia="仿宋_GB2312" w:cs="仿宋_GB2312"/>
          <w:sz w:val="32"/>
          <w:szCs w:val="32"/>
          <w:highlight w:val="none"/>
          <w:lang w:val="en-US" w:eastAsia="zh-CN"/>
        </w:rPr>
        <w:t>免租期满后，续租享市场租金3-7折优惠，以上企业原则上需由区科技创新局统一遴选导入；</w:t>
      </w:r>
      <w:bookmarkEnd w:id="10"/>
    </w:p>
    <w:p>
      <w:pPr>
        <w:pStyle w:val="2"/>
        <w:keepNext w:val="0"/>
        <w:keepLines w:val="0"/>
        <w:pageBreakBefore w:val="0"/>
        <w:kinsoku/>
        <w:wordWrap/>
        <w:overflowPunct/>
        <w:topLinePunct w:val="0"/>
        <w:autoSpaceDE/>
        <w:autoSpaceDN/>
        <w:bidi w:val="0"/>
        <w:adjustRightInd/>
        <w:spacing w:after="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
        </w:rPr>
        <w:t>（</w:t>
      </w:r>
      <w:r>
        <w:rPr>
          <w:rFonts w:hint="eastAsia" w:ascii="仿宋_GB2312" w:hAnsi="仿宋_GB2312" w:cs="仿宋_GB2312"/>
          <w:color w:val="000000"/>
          <w:sz w:val="32"/>
          <w:szCs w:val="32"/>
          <w:highlight w:val="none"/>
          <w:lang w:val="en-US" w:eastAsia="zh-CN" w:bidi="ar"/>
        </w:rPr>
        <w:t>三</w:t>
      </w:r>
      <w:r>
        <w:rPr>
          <w:rFonts w:hint="eastAsia" w:ascii="仿宋_GB2312" w:hAnsi="仿宋_GB2312" w:eastAsia="仿宋_GB2312" w:cs="仿宋_GB2312"/>
          <w:color w:val="000000"/>
          <w:sz w:val="32"/>
          <w:szCs w:val="32"/>
          <w:highlight w:val="none"/>
          <w:lang w:val="en-US" w:eastAsia="zh-CN" w:bidi="ar"/>
        </w:rPr>
        <w:t>）</w:t>
      </w:r>
      <w:r>
        <w:rPr>
          <w:rFonts w:hint="eastAsia" w:ascii="仿宋_GB2312" w:hAnsi="仿宋_GB2312" w:cs="仿宋_GB2312"/>
          <w:kern w:val="2"/>
          <w:sz w:val="32"/>
          <w:szCs w:val="32"/>
          <w:highlight w:val="none"/>
          <w:lang w:val="en-US" w:eastAsia="zh-CN" w:bidi="ar-SA"/>
        </w:rPr>
        <w:t>载体具有市级及</w:t>
      </w:r>
      <w:r>
        <w:rPr>
          <w:rFonts w:hint="eastAsia" w:ascii="仿宋_GB2312" w:hAnsi="仿宋_GB2312" w:eastAsia="仿宋_GB2312" w:cs="仿宋_GB2312"/>
          <w:kern w:val="2"/>
          <w:sz w:val="32"/>
          <w:szCs w:val="32"/>
          <w:highlight w:val="none"/>
          <w:lang w:val="en-US" w:eastAsia="zh-CN" w:bidi="ar-SA"/>
        </w:rPr>
        <w:t>以上孵化载体认定资质；</w:t>
      </w:r>
    </w:p>
    <w:p>
      <w:pPr>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仿宋_GB2312" w:hAnsi="仿宋_GB2312" w:eastAsia="仿宋_GB2312" w:cs="仿宋_GB2312"/>
          <w:color w:val="000000"/>
          <w:sz w:val="32"/>
          <w:szCs w:val="32"/>
          <w:highlight w:val="none"/>
          <w:lang w:val="en-US" w:eastAsia="zh-CN" w:bidi="ar"/>
        </w:rPr>
      </w:pPr>
      <w:bookmarkStart w:id="11" w:name="_Toc412314719"/>
      <w:r>
        <w:rPr>
          <w:rFonts w:hint="eastAsia" w:ascii="仿宋_GB2312" w:hAnsi="仿宋_GB2312" w:eastAsia="仿宋_GB2312" w:cs="仿宋_GB2312"/>
          <w:color w:val="000000"/>
          <w:sz w:val="32"/>
          <w:szCs w:val="32"/>
          <w:highlight w:val="none"/>
          <w:lang w:val="en-US" w:eastAsia="zh-CN" w:bidi="ar"/>
        </w:rPr>
        <w:t>（四）申报单位及关联主体近1年投资案例不少于3个或已投资金额不少于1000万元；</w:t>
      </w:r>
      <w:bookmarkEnd w:id="11"/>
    </w:p>
    <w:p>
      <w:pPr>
        <w:pStyle w:val="2"/>
        <w:keepNext w:val="0"/>
        <w:keepLines w:val="0"/>
        <w:pageBreakBefore w:val="0"/>
        <w:kinsoku/>
        <w:wordWrap/>
        <w:overflowPunct/>
        <w:topLinePunct w:val="0"/>
        <w:autoSpaceDE/>
        <w:autoSpaceDN/>
        <w:bidi w:val="0"/>
        <w:adjustRightInd/>
        <w:spacing w:after="0" w:line="560" w:lineRule="exact"/>
        <w:ind w:left="0" w:leftChars="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
        </w:rPr>
        <w:t>（</w:t>
      </w:r>
      <w:r>
        <w:rPr>
          <w:rFonts w:hint="eastAsia" w:ascii="仿宋_GB2312" w:hAnsi="仿宋_GB2312" w:cs="仿宋_GB2312"/>
          <w:color w:val="000000"/>
          <w:sz w:val="32"/>
          <w:szCs w:val="32"/>
          <w:highlight w:val="none"/>
          <w:lang w:val="en-US" w:eastAsia="zh-CN" w:bidi="ar"/>
        </w:rPr>
        <w:t>五</w:t>
      </w:r>
      <w:r>
        <w:rPr>
          <w:rFonts w:hint="eastAsia" w:ascii="仿宋_GB2312" w:hAnsi="仿宋_GB2312" w:eastAsia="仿宋_GB2312" w:cs="仿宋_GB2312"/>
          <w:color w:val="000000"/>
          <w:sz w:val="32"/>
          <w:szCs w:val="32"/>
          <w:highlight w:val="none"/>
          <w:lang w:val="en-US" w:eastAsia="zh-CN" w:bidi="ar"/>
        </w:rPr>
        <w:t>）</w:t>
      </w:r>
      <w:r>
        <w:rPr>
          <w:rFonts w:hint="eastAsia" w:ascii="仿宋_GB2312" w:hAnsi="仿宋_GB2312" w:cs="仿宋_GB2312"/>
          <w:kern w:val="2"/>
          <w:sz w:val="32"/>
          <w:szCs w:val="32"/>
          <w:highlight w:val="none"/>
          <w:lang w:val="en-US" w:eastAsia="zh-CN" w:bidi="ar-SA"/>
        </w:rPr>
        <w:t>申报单位需要</w:t>
      </w:r>
      <w:r>
        <w:rPr>
          <w:rFonts w:hint="eastAsia" w:ascii="仿宋_GB2312" w:hAnsi="仿宋_GB2312" w:eastAsia="仿宋_GB2312" w:cs="仿宋_GB2312"/>
          <w:kern w:val="2"/>
          <w:sz w:val="32"/>
          <w:szCs w:val="32"/>
          <w:highlight w:val="none"/>
          <w:lang w:val="en-US" w:eastAsia="zh-CN" w:bidi="ar-SA"/>
        </w:rPr>
        <w:t>建设专业服务平台，能为入驻企业提供行业辅导、市场对接、场景应用、概念验证或中试打样等产业加速服务；</w:t>
      </w:r>
    </w:p>
    <w:p>
      <w:pPr>
        <w:pStyle w:val="2"/>
        <w:keepNext w:val="0"/>
        <w:keepLines w:val="0"/>
        <w:pageBreakBefore w:val="0"/>
        <w:kinsoku/>
        <w:wordWrap/>
        <w:overflowPunct/>
        <w:topLinePunct w:val="0"/>
        <w:autoSpaceDE/>
        <w:autoSpaceDN/>
        <w:bidi w:val="0"/>
        <w:adjustRightInd/>
        <w:spacing w:after="0"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
        </w:rPr>
        <w:t>（</w:t>
      </w:r>
      <w:r>
        <w:rPr>
          <w:rFonts w:hint="eastAsia" w:ascii="仿宋_GB2312" w:hAnsi="仿宋_GB2312" w:cs="仿宋_GB2312"/>
          <w:color w:val="000000"/>
          <w:sz w:val="32"/>
          <w:szCs w:val="32"/>
          <w:highlight w:val="none"/>
          <w:lang w:val="en-US" w:eastAsia="zh-CN" w:bidi="ar"/>
        </w:rPr>
        <w:t>六</w:t>
      </w:r>
      <w:r>
        <w:rPr>
          <w:rFonts w:hint="eastAsia" w:ascii="仿宋_GB2312" w:hAnsi="仿宋_GB2312" w:eastAsia="仿宋_GB2312" w:cs="仿宋_GB2312"/>
          <w:color w:val="000000"/>
          <w:sz w:val="32"/>
          <w:szCs w:val="32"/>
          <w:highlight w:val="none"/>
          <w:lang w:val="en-US" w:eastAsia="zh-CN" w:bidi="ar"/>
        </w:rPr>
        <w:t>）</w:t>
      </w:r>
      <w:r>
        <w:rPr>
          <w:rFonts w:hint="eastAsia" w:ascii="仿宋_GB2312" w:hAnsi="仿宋_GB2312" w:eastAsia="仿宋_GB2312" w:cs="仿宋_GB2312"/>
          <w:kern w:val="2"/>
          <w:sz w:val="32"/>
          <w:szCs w:val="32"/>
          <w:highlight w:val="none"/>
          <w:lang w:val="en-US" w:eastAsia="zh-CN" w:bidi="ar-SA"/>
        </w:rPr>
        <w:t>申报单位和载体需按照区科技创新局的导向进行统一品牌建设和日常管理。</w:t>
      </w:r>
    </w:p>
    <w:p>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黑体" w:hAnsi="黑体" w:eastAsia="黑体" w:cs="黑体"/>
          <w:kern w:val="0"/>
          <w:sz w:val="32"/>
          <w:szCs w:val="32"/>
          <w:highlight w:val="none"/>
          <w:lang w:val="en-US" w:bidi="ar"/>
        </w:rPr>
      </w:pPr>
      <w:bookmarkStart w:id="12" w:name="_Toc1250795272"/>
      <w:r>
        <w:rPr>
          <w:rFonts w:hint="eastAsia" w:ascii="黑体" w:hAnsi="黑体" w:eastAsia="黑体" w:cs="黑体"/>
          <w:kern w:val="0"/>
          <w:sz w:val="32"/>
          <w:szCs w:val="32"/>
          <w:highlight w:val="none"/>
          <w:lang w:val="en-US" w:eastAsia="zh-CN" w:bidi="ar"/>
        </w:rPr>
        <w:t>五、资助方式</w:t>
      </w:r>
      <w:bookmarkEnd w:id="12"/>
    </w:p>
    <w:p>
      <w:pPr>
        <w:pStyle w:val="9"/>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本资助计划属评审类，按照单位申报、材料审核、专家评审、社会公示、政府决策的方式资助。每年支持项目有数量限制，</w:t>
      </w:r>
      <w:r>
        <w:rPr>
          <w:rFonts w:hint="eastAsia" w:ascii="仿宋_GB2312" w:eastAsia="仿宋_GB2312"/>
          <w:color w:val="auto"/>
          <w:sz w:val="32"/>
          <w:szCs w:val="32"/>
          <w:highlight w:val="none"/>
          <w:lang w:val="en-US" w:eastAsia="zh-CN"/>
        </w:rPr>
        <w:t>区科技创新局根据项目合同进行跟踪和管理。</w:t>
      </w:r>
    </w:p>
    <w:p>
      <w:pPr>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六、办理流程</w:t>
      </w:r>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13" w:name="_Toc368796346"/>
      <w:r>
        <w:rPr>
          <w:rFonts w:hint="eastAsia" w:ascii="仿宋_GB2312" w:hAnsi="仿宋_GB2312" w:eastAsia="仿宋_GB2312" w:cs="仿宋_GB2312"/>
          <w:sz w:val="32"/>
          <w:szCs w:val="32"/>
          <w:highlight w:val="none"/>
          <w:lang w:val="en-US" w:eastAsia="zh-CN"/>
        </w:rPr>
        <w:t>（一）申报主体登录“Ai南山企业服务综合平台”（https://www.inanshan.org.cn/），提交项目申报材料；</w:t>
      </w:r>
      <w:bookmarkEnd w:id="13"/>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14" w:name="_Toc2050820844"/>
      <w:r>
        <w:rPr>
          <w:rFonts w:hint="eastAsia" w:ascii="仿宋_GB2312" w:hAnsi="仿宋_GB2312" w:eastAsia="仿宋_GB2312" w:cs="仿宋_GB2312"/>
          <w:sz w:val="32"/>
          <w:szCs w:val="32"/>
          <w:highlight w:val="none"/>
          <w:lang w:val="en-US" w:eastAsia="zh-CN"/>
        </w:rPr>
        <w:t>（二）区企业服务中心受理申请，对申报材料进行形式性审核，区科技创新局复审项目申报材料；</w:t>
      </w:r>
      <w:bookmarkEnd w:id="14"/>
    </w:p>
    <w:p>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区科技创新局组织专家评审，对专家评审通过的项目进行现场考察</w:t>
      </w:r>
      <w:r>
        <w:rPr>
          <w:rFonts w:hint="eastAsia" w:ascii="仿宋_GB2312" w:eastAsia="仿宋_GB2312"/>
          <w:color w:val="auto"/>
          <w:sz w:val="32"/>
          <w:szCs w:val="32"/>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outlineLvl w:val="9"/>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区科技创新局拟定资助计划；</w:t>
      </w:r>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15" w:name="_Toc1551340672"/>
      <w:r>
        <w:rPr>
          <w:rFonts w:hint="eastAsia" w:ascii="仿宋_GB2312" w:hAnsi="仿宋_GB2312" w:eastAsia="仿宋_GB2312" w:cs="仿宋_GB2312"/>
          <w:color w:val="auto"/>
          <w:sz w:val="32"/>
          <w:szCs w:val="32"/>
          <w:highlight w:val="none"/>
          <w:lang w:val="en-US" w:eastAsia="zh-CN"/>
        </w:rPr>
        <w:t>（五）区统计局对申报主体数据申报情况</w:t>
      </w:r>
      <w:r>
        <w:rPr>
          <w:rFonts w:hint="eastAsia" w:ascii="仿宋_GB2312" w:hAnsi="仿宋_GB2312" w:eastAsia="仿宋_GB2312" w:cs="仿宋_GB2312"/>
          <w:sz w:val="32"/>
          <w:szCs w:val="32"/>
          <w:highlight w:val="none"/>
          <w:lang w:val="en-US" w:eastAsia="zh-CN"/>
        </w:rPr>
        <w:t>进行核查，区企业服务中心组织对申报主体的在地经营情况、不良信用记录等情况进行核查；</w:t>
      </w:r>
      <w:bookmarkEnd w:id="15"/>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16" w:name="_Toc661970759"/>
      <w:r>
        <w:rPr>
          <w:rFonts w:hint="eastAsia" w:ascii="仿宋_GB2312" w:hAnsi="仿宋_GB2312" w:eastAsia="仿宋_GB2312" w:cs="仿宋_GB2312"/>
          <w:sz w:val="32"/>
          <w:szCs w:val="32"/>
          <w:highlight w:val="none"/>
          <w:lang w:val="en-US" w:eastAsia="zh-CN"/>
        </w:rPr>
        <w:t>（六）区科技创新局将拟资助项目向社会公示5个工作日，对公示期满且无有效投诉的项目资助计划，报分管区领导审批；</w:t>
      </w:r>
      <w:bookmarkEnd w:id="16"/>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17" w:name="_Toc563499352"/>
      <w:r>
        <w:rPr>
          <w:rFonts w:hint="eastAsia" w:ascii="仿宋_GB2312" w:hAnsi="仿宋_GB2312" w:eastAsia="仿宋_GB2312" w:cs="仿宋_GB2312"/>
          <w:sz w:val="32"/>
          <w:szCs w:val="32"/>
          <w:highlight w:val="none"/>
          <w:lang w:val="en-US" w:eastAsia="zh-CN"/>
        </w:rPr>
        <w:t>（七）经审批后，区科技创新局直接行文下达资金计划；</w:t>
      </w:r>
      <w:bookmarkEnd w:id="17"/>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18" w:name="_Toc1236369735"/>
      <w:r>
        <w:rPr>
          <w:rFonts w:hint="eastAsia" w:ascii="仿宋_GB2312" w:hAnsi="仿宋_GB2312" w:eastAsia="仿宋_GB2312" w:cs="仿宋_GB2312"/>
          <w:sz w:val="32"/>
          <w:szCs w:val="32"/>
          <w:highlight w:val="none"/>
          <w:lang w:val="en-US" w:eastAsia="zh-CN"/>
        </w:rPr>
        <w:t>（八）区财政局及时安排资金，区科技创新局办理资金拨付手续。</w:t>
      </w:r>
      <w:bookmarkEnd w:id="18"/>
    </w:p>
    <w:p>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黑体" w:hAnsi="黑体" w:eastAsia="黑体" w:cs="黑体"/>
          <w:bCs/>
          <w:sz w:val="32"/>
          <w:szCs w:val="32"/>
          <w:highlight w:val="none"/>
          <w:lang w:val="en-US" w:eastAsia="zh-CN"/>
        </w:rPr>
      </w:pPr>
      <w:bookmarkStart w:id="19" w:name="_Toc264631255"/>
      <w:r>
        <w:rPr>
          <w:rFonts w:hint="eastAsia" w:ascii="黑体" w:hAnsi="黑体" w:eastAsia="黑体" w:cs="黑体"/>
          <w:bCs/>
          <w:sz w:val="32"/>
          <w:szCs w:val="32"/>
          <w:highlight w:val="none"/>
          <w:lang w:val="en-US" w:eastAsia="zh-CN"/>
        </w:rPr>
        <w:t>七</w:t>
      </w:r>
      <w:r>
        <w:rPr>
          <w:rFonts w:hint="eastAsia" w:ascii="黑体" w:hAnsi="黑体" w:eastAsia="黑体" w:cs="黑体"/>
          <w:bCs/>
          <w:sz w:val="32"/>
          <w:szCs w:val="32"/>
          <w:highlight w:val="none"/>
        </w:rPr>
        <w:t>、所需材料</w:t>
      </w:r>
      <w:bookmarkEnd w:id="19"/>
      <w:r>
        <w:rPr>
          <w:rFonts w:hint="eastAsia" w:ascii="黑体" w:hAnsi="黑体" w:eastAsia="黑体" w:cs="黑体"/>
          <w:bCs/>
          <w:sz w:val="32"/>
          <w:szCs w:val="32"/>
          <w:highlight w:val="none"/>
          <w:lang w:val="en-US" w:eastAsia="zh-CN"/>
        </w:rPr>
        <w:t xml:space="preserve"> </w:t>
      </w:r>
    </w:p>
    <w:p>
      <w:pPr>
        <w:pStyle w:val="9"/>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eastAsia="仿宋_GB2312" w:cs="仿宋_GB2312"/>
          <w:sz w:val="32"/>
          <w:szCs w:val="32"/>
          <w:highlight w:val="none"/>
        </w:rPr>
        <w:t>“零租加速营”空间支持行动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“零租加速营”运营支持操作规程</w:t>
      </w:r>
      <w:r>
        <w:rPr>
          <w:rFonts w:hint="eastAsia" w:ascii="仿宋_GB2312" w:hAnsi="仿宋_GB2312" w:eastAsia="仿宋_GB2312" w:cs="仿宋_GB2312"/>
          <w:kern w:val="2"/>
          <w:sz w:val="32"/>
          <w:szCs w:val="32"/>
          <w:highlight w:val="none"/>
          <w:lang w:val="en-US" w:eastAsia="zh-CN" w:bidi="ar-SA"/>
        </w:rPr>
        <w:t>》项目申请书（法定代表人签字、加盖单位公章并填写日期）；</w:t>
      </w:r>
    </w:p>
    <w:p>
      <w:pPr>
        <w:pStyle w:val="9"/>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（二）填表声明与保证（法定代表人签字、加盖单位公章并填写日期后，原件彩色扫描成PDF文件上传）；</w:t>
      </w:r>
    </w:p>
    <w:p>
      <w:pPr>
        <w:pStyle w:val="9"/>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（三）统一社会信用代码证书（原件彩色扫描成PDF文件上传）；</w:t>
      </w:r>
    </w:p>
    <w:p>
      <w:pPr>
        <w:pStyle w:val="9"/>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（四）法定代表人身份证（原件（或复印件加盖单位公章）彩色扫描成PDF文件上传）；</w:t>
      </w:r>
    </w:p>
    <w:p>
      <w:pPr>
        <w:pStyle w:val="9"/>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仿宋_GB2312" w:hAnsi="ˎ̥" w:eastAsia="仿宋_GB2312" w:cs="宋体"/>
          <w:kern w:val="2"/>
          <w:sz w:val="32"/>
          <w:szCs w:val="32"/>
          <w:highlight w:val="none"/>
          <w:lang w:val="en-US" w:eastAsia="zh-CN" w:bidi="ar-SA"/>
        </w:rPr>
      </w:pPr>
      <w:r>
        <w:rPr>
          <w:rFonts w:hint="eastAsia" w:ascii="仿宋_GB2312" w:hAnsi="ˎ̥" w:eastAsia="仿宋_GB2312" w:cs="宋体"/>
          <w:kern w:val="2"/>
          <w:sz w:val="32"/>
          <w:szCs w:val="32"/>
          <w:highlight w:val="none"/>
          <w:lang w:val="en-US" w:eastAsia="zh-CN" w:bidi="ar-SA"/>
        </w:rPr>
        <w:t>（五）由税务部门开具的单位上年度纳税证明（上传税务系统下载带有税务机关红色印章的电子版）；</w:t>
      </w:r>
    </w:p>
    <w:p>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kern w:val="2"/>
          <w:sz w:val="32"/>
          <w:szCs w:val="32"/>
          <w:highlight w:val="none"/>
          <w:lang w:val="en-US" w:eastAsia="zh-CN" w:bidi="ar-SA"/>
        </w:rPr>
      </w:pPr>
      <w:bookmarkStart w:id="20" w:name="_Toc1602143061"/>
      <w:r>
        <w:rPr>
          <w:rFonts w:hint="eastAsia" w:ascii="仿宋_GB2312" w:hAnsi="ˎ̥" w:eastAsia="仿宋_GB2312" w:cs="宋体"/>
          <w:kern w:val="2"/>
          <w:sz w:val="32"/>
          <w:szCs w:val="32"/>
          <w:highlight w:val="none"/>
          <w:lang w:val="en-US" w:eastAsia="zh-CN" w:bidi="ar-SA"/>
        </w:rPr>
        <w:t>（六）租赁合同、房产证明、委托协议、租金标准、评估报告等能证明场地运营资质和费用标准的相关材料（加盖单位公章，彩色扫描成PDF文件上传）；</w:t>
      </w:r>
      <w:bookmarkEnd w:id="20"/>
    </w:p>
    <w:p>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仿宋_GB2312" w:hAnsi="ˎ̥" w:eastAsia="仿宋_GB2312" w:cs="宋体"/>
          <w:kern w:val="2"/>
          <w:sz w:val="32"/>
          <w:szCs w:val="32"/>
          <w:highlight w:val="none"/>
          <w:lang w:val="en-US" w:eastAsia="zh-CN" w:bidi="ar-SA"/>
        </w:rPr>
      </w:pPr>
      <w:bookmarkStart w:id="21" w:name="_Toc1480893789"/>
      <w:r>
        <w:rPr>
          <w:rFonts w:hint="eastAsia" w:ascii="仿宋_GB2312" w:hAnsi="ˎ̥" w:eastAsia="仿宋_GB2312" w:cs="宋体"/>
          <w:kern w:val="2"/>
          <w:sz w:val="32"/>
          <w:szCs w:val="32"/>
          <w:highlight w:val="none"/>
          <w:lang w:val="en-US" w:eastAsia="zh-CN" w:bidi="ar-SA"/>
        </w:rPr>
        <w:t>（七）载体具有市级及以上孵化载体认定资质的通知公告、荣誉证书等</w:t>
      </w:r>
      <w:r>
        <w:rPr>
          <w:rFonts w:hint="eastAsia" w:ascii="仿宋_GB2312" w:hAnsi="ˎ̥" w:eastAsia="仿宋_GB2312" w:cs="宋体"/>
          <w:sz w:val="32"/>
          <w:szCs w:val="32"/>
          <w:highlight w:val="none"/>
          <w:lang w:val="en-US" w:eastAsia="zh-CN"/>
        </w:rPr>
        <w:t>相关</w:t>
      </w:r>
      <w:r>
        <w:rPr>
          <w:rFonts w:hint="eastAsia" w:ascii="仿宋_GB2312" w:hAnsi="ˎ̥" w:eastAsia="仿宋_GB2312" w:cs="宋体"/>
          <w:kern w:val="2"/>
          <w:sz w:val="32"/>
          <w:szCs w:val="32"/>
          <w:highlight w:val="none"/>
          <w:lang w:val="en-US" w:eastAsia="zh-CN" w:bidi="ar-SA"/>
        </w:rPr>
        <w:t>材料（加盖单位公章，彩色扫描成PDF文件上传）；</w:t>
      </w:r>
      <w:bookmarkEnd w:id="21"/>
    </w:p>
    <w:p>
      <w:pPr>
        <w:keepNext w:val="0"/>
        <w:keepLines w:val="0"/>
        <w:pageBreakBefore w:val="0"/>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eastAsia" w:ascii="仿宋_GB2312" w:hAnsi="ˎ̥" w:eastAsia="仿宋_GB2312" w:cs="宋体"/>
          <w:kern w:val="2"/>
          <w:sz w:val="32"/>
          <w:szCs w:val="32"/>
          <w:highlight w:val="none"/>
          <w:lang w:val="en-US" w:eastAsia="zh-CN" w:bidi="ar-SA"/>
        </w:rPr>
      </w:pPr>
      <w:bookmarkStart w:id="22" w:name="_Toc1552410914"/>
      <w:r>
        <w:rPr>
          <w:rFonts w:hint="eastAsia" w:ascii="仿宋_GB2312" w:hAnsi="ˎ̥" w:eastAsia="仿宋_GB2312" w:cs="宋体"/>
          <w:kern w:val="2"/>
          <w:sz w:val="32"/>
          <w:szCs w:val="32"/>
          <w:highlight w:val="none"/>
          <w:lang w:val="en-US" w:eastAsia="zh-CN" w:bidi="ar-SA"/>
        </w:rPr>
        <w:t>（</w:t>
      </w:r>
      <w:r>
        <w:rPr>
          <w:rFonts w:hint="eastAsia" w:ascii="仿宋_GB2312" w:hAnsi="ˎ̥" w:eastAsia="仿宋_GB2312" w:cs="宋体"/>
          <w:sz w:val="32"/>
          <w:szCs w:val="32"/>
          <w:highlight w:val="none"/>
          <w:lang w:val="en-US" w:eastAsia="zh-CN"/>
        </w:rPr>
        <w:t>八</w:t>
      </w:r>
      <w:r>
        <w:rPr>
          <w:rFonts w:hint="eastAsia" w:ascii="仿宋_GB2312" w:hAnsi="ˎ̥" w:eastAsia="仿宋_GB2312" w:cs="宋体"/>
          <w:kern w:val="2"/>
          <w:sz w:val="32"/>
          <w:szCs w:val="32"/>
          <w:highlight w:val="none"/>
          <w:lang w:val="en-US" w:eastAsia="zh-CN" w:bidi="ar-SA"/>
        </w:rPr>
        <w:t>）项目建设方案、建设周期、预期成果等方案材料，包含品牌建设、日常管理、服务制度等相关材料（加盖单位公章，彩色扫描成PDF文件上传）；</w:t>
      </w:r>
      <w:bookmarkEnd w:id="22"/>
    </w:p>
    <w:p>
      <w:pPr>
        <w:keepNext w:val="0"/>
        <w:keepLines w:val="0"/>
        <w:pageBreakBefore w:val="0"/>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default" w:ascii="仿宋_GB2312" w:hAnsi="ˎ̥" w:eastAsia="仿宋_GB2312" w:cs="宋体"/>
          <w:kern w:val="2"/>
          <w:sz w:val="32"/>
          <w:szCs w:val="32"/>
          <w:highlight w:val="none"/>
          <w:lang w:val="en-US" w:eastAsia="zh-CN" w:bidi="ar-SA"/>
        </w:rPr>
      </w:pPr>
      <w:bookmarkStart w:id="23" w:name="_Toc2066395413"/>
      <w:r>
        <w:rPr>
          <w:rFonts w:hint="eastAsia" w:ascii="仿宋_GB2312" w:hAnsi="ˎ̥" w:eastAsia="仿宋_GB2312" w:cs="宋体"/>
          <w:kern w:val="2"/>
          <w:sz w:val="32"/>
          <w:szCs w:val="32"/>
          <w:highlight w:val="none"/>
          <w:lang w:val="en-US" w:eastAsia="zh-CN" w:bidi="ar-SA"/>
        </w:rPr>
        <w:t>（九）申报单位与入驻企业签订的入驻协议、孵化证明等相关材料（加盖单位公章，彩色扫描成PDF文件上传）；</w:t>
      </w:r>
      <w:bookmarkEnd w:id="23"/>
    </w:p>
    <w:p>
      <w:pPr>
        <w:keepNext w:val="0"/>
        <w:keepLines w:val="0"/>
        <w:pageBreakBefore w:val="0"/>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eastAsia" w:ascii="仿宋_GB2312" w:hAnsi="ˎ̥" w:eastAsia="仿宋_GB2312" w:cs="宋体"/>
          <w:kern w:val="2"/>
          <w:sz w:val="32"/>
          <w:szCs w:val="32"/>
          <w:highlight w:val="none"/>
          <w:lang w:val="en-US" w:eastAsia="zh-CN" w:bidi="ar-SA"/>
        </w:rPr>
      </w:pPr>
      <w:bookmarkStart w:id="24" w:name="_Toc2144230482"/>
      <w:r>
        <w:rPr>
          <w:rFonts w:hint="eastAsia" w:ascii="仿宋_GB2312" w:hAnsi="ˎ̥" w:eastAsia="仿宋_GB2312" w:cs="宋体"/>
          <w:kern w:val="2"/>
          <w:sz w:val="32"/>
          <w:szCs w:val="32"/>
          <w:highlight w:val="none"/>
          <w:lang w:val="en-US" w:eastAsia="zh-CN" w:bidi="ar-SA"/>
        </w:rPr>
        <w:t>（十）申报单位及关联主体近1年投资案例不少于3个或已投资金额不少于1000万元的相关材料（加盖单位公章，彩色扫描成PDF文件上传）；</w:t>
      </w:r>
      <w:bookmarkEnd w:id="24"/>
    </w:p>
    <w:p>
      <w:pPr>
        <w:keepNext w:val="0"/>
        <w:keepLines w:val="0"/>
        <w:pageBreakBefore w:val="0"/>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eastAsia" w:ascii="仿宋_GB2312" w:hAnsi="ˎ̥" w:eastAsia="仿宋_GB2312" w:cs="宋体"/>
          <w:kern w:val="2"/>
          <w:sz w:val="32"/>
          <w:szCs w:val="32"/>
          <w:highlight w:val="none"/>
          <w:lang w:val="en-US" w:eastAsia="zh-CN" w:bidi="ar-SA"/>
        </w:rPr>
      </w:pPr>
      <w:bookmarkStart w:id="25" w:name="_Toc1329665092"/>
      <w:r>
        <w:rPr>
          <w:rFonts w:hint="eastAsia" w:ascii="仿宋_GB2312" w:hAnsi="ˎ̥" w:eastAsia="仿宋_GB2312" w:cs="宋体"/>
          <w:kern w:val="2"/>
          <w:sz w:val="32"/>
          <w:szCs w:val="32"/>
          <w:highlight w:val="none"/>
          <w:lang w:val="en-US" w:eastAsia="zh-CN" w:bidi="ar-SA"/>
        </w:rPr>
        <w:t>（十一）建设专业服务平台的证明材料（加盖单位公章，彩色扫描成PDF文件上传）；</w:t>
      </w:r>
      <w:bookmarkEnd w:id="25"/>
    </w:p>
    <w:p>
      <w:pPr>
        <w:keepNext w:val="0"/>
        <w:keepLines w:val="0"/>
        <w:pageBreakBefore w:val="0"/>
        <w:numPr>
          <w:ilvl w:val="-1"/>
          <w:numId w:val="0"/>
        </w:numPr>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kern w:val="2"/>
          <w:sz w:val="32"/>
          <w:szCs w:val="32"/>
          <w:highlight w:val="none"/>
          <w:lang w:val="en-US" w:eastAsia="zh-CN" w:bidi="ar-SA"/>
        </w:rPr>
      </w:pPr>
      <w:bookmarkStart w:id="26" w:name="_Toc515706465"/>
      <w:r>
        <w:rPr>
          <w:rFonts w:hint="eastAsia" w:ascii="仿宋_GB2312" w:hAnsi="ˎ̥" w:eastAsia="仿宋_GB2312" w:cs="宋体"/>
          <w:kern w:val="2"/>
          <w:sz w:val="32"/>
          <w:szCs w:val="32"/>
          <w:highlight w:val="none"/>
          <w:lang w:val="en-US" w:eastAsia="zh-CN" w:bidi="ar-SA"/>
        </w:rPr>
        <w:t>（十二）能证明申报单位符合申报条件的其它材料（原件（或复印件加盖单位公章）彩色扫描成PDF文件上传）。</w:t>
      </w:r>
      <w:bookmarkEnd w:id="26"/>
    </w:p>
    <w:p>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黑体" w:hAnsi="黑体" w:eastAsia="黑体" w:cs="Times New Roman"/>
          <w:bCs/>
          <w:sz w:val="32"/>
          <w:szCs w:val="32"/>
          <w:highlight w:val="none"/>
          <w:lang w:eastAsia="zh-CN"/>
        </w:rPr>
      </w:pPr>
      <w:bookmarkStart w:id="27" w:name="_Toc1247259612"/>
      <w:r>
        <w:rPr>
          <w:rFonts w:hint="eastAsia" w:ascii="黑体" w:hAnsi="黑体" w:eastAsia="黑体" w:cs="Times New Roman"/>
          <w:bCs/>
          <w:sz w:val="32"/>
          <w:szCs w:val="32"/>
          <w:highlight w:val="none"/>
          <w:lang w:val="en-US" w:eastAsia="zh-CN"/>
        </w:rPr>
        <w:t>九</w:t>
      </w:r>
      <w:r>
        <w:rPr>
          <w:rFonts w:hint="eastAsia" w:ascii="黑体" w:hAnsi="黑体" w:eastAsia="黑体" w:cs="Times New Roman"/>
          <w:bCs/>
          <w:sz w:val="32"/>
          <w:szCs w:val="32"/>
          <w:highlight w:val="none"/>
        </w:rPr>
        <w:t>、</w:t>
      </w:r>
      <w:r>
        <w:rPr>
          <w:rFonts w:hint="eastAsia" w:ascii="黑体" w:hAnsi="黑体" w:eastAsia="黑体"/>
          <w:bCs/>
          <w:sz w:val="32"/>
          <w:szCs w:val="32"/>
          <w:highlight w:val="none"/>
        </w:rPr>
        <w:t>申报时间和办理</w:t>
      </w:r>
      <w:r>
        <w:rPr>
          <w:rFonts w:hint="eastAsia" w:ascii="黑体" w:hAnsi="黑体" w:eastAsia="黑体"/>
          <w:bCs/>
          <w:sz w:val="32"/>
          <w:szCs w:val="32"/>
          <w:highlight w:val="none"/>
          <w:lang w:eastAsia="zh-CN"/>
        </w:rPr>
        <w:t>要求</w:t>
      </w:r>
      <w:bookmarkEnd w:id="27"/>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申报时间以申报通知为准。</w:t>
      </w:r>
      <w:r>
        <w:rPr>
          <w:rFonts w:hint="eastAsia" w:ascii="仿宋_GB2312" w:eastAsia="仿宋_GB2312"/>
          <w:sz w:val="32"/>
          <w:szCs w:val="32"/>
          <w:highlight w:val="none"/>
          <w:lang w:eastAsia="zh-CN"/>
        </w:rPr>
        <w:t>申报主体需按照区科技创新局相关通知要求办理资金拨付手续。</w:t>
      </w:r>
    </w:p>
    <w:p>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ascii="黑体" w:hAnsi="黑体" w:eastAsia="黑体" w:cs="黑体"/>
          <w:bCs/>
          <w:sz w:val="32"/>
          <w:szCs w:val="32"/>
          <w:highlight w:val="none"/>
        </w:rPr>
      </w:pPr>
      <w:bookmarkStart w:id="28" w:name="_Toc711559889"/>
      <w:r>
        <w:rPr>
          <w:rFonts w:hint="eastAsia" w:ascii="黑体" w:hAnsi="黑体" w:eastAsia="黑体" w:cs="黑体"/>
          <w:bCs/>
          <w:sz w:val="32"/>
          <w:szCs w:val="32"/>
          <w:highlight w:val="none"/>
          <w:lang w:val="en-US" w:eastAsia="zh-CN"/>
        </w:rPr>
        <w:t>十</w:t>
      </w:r>
      <w:r>
        <w:rPr>
          <w:rFonts w:hint="eastAsia" w:ascii="黑体" w:hAnsi="黑体" w:eastAsia="黑体" w:cs="黑体"/>
          <w:bCs/>
          <w:sz w:val="32"/>
          <w:szCs w:val="32"/>
          <w:highlight w:val="none"/>
        </w:rPr>
        <w:t>、附则</w:t>
      </w:r>
      <w:bookmarkEnd w:id="28"/>
    </w:p>
    <w:p>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本操作</w:t>
      </w:r>
      <w:r>
        <w:rPr>
          <w:rFonts w:hint="default" w:ascii="仿宋_GB2312" w:hAnsi="仿宋_GB2312" w:eastAsia="仿宋_GB2312" w:cs="仿宋_GB2312"/>
          <w:color w:val="auto"/>
          <w:kern w:val="0"/>
          <w:sz w:val="32"/>
          <w:szCs w:val="32"/>
          <w:highlight w:val="none"/>
          <w:lang w:eastAsia="zh-CN" w:bidi="ar-SA"/>
        </w:rPr>
        <w:t>规程</w:t>
      </w:r>
      <w:r>
        <w:rPr>
          <w:rFonts w:hint="eastAsia" w:ascii="仿宋_GB2312" w:hAnsi="仿宋_GB2312" w:eastAsia="仿宋_GB2312" w:cs="仿宋_GB2312"/>
          <w:color w:val="auto"/>
          <w:kern w:val="0"/>
          <w:sz w:val="32"/>
          <w:szCs w:val="32"/>
          <w:highlight w:val="none"/>
          <w:lang w:val="en-US" w:eastAsia="zh-CN" w:bidi="ar-SA"/>
        </w:rPr>
        <w:t>由深圳市南山区科技创新局负责解释，自发布之日起实施。</w:t>
      </w:r>
    </w:p>
    <w:p>
      <w:pPr>
        <w:keepNext w:val="0"/>
        <w:keepLines w:val="0"/>
        <w:pageBreakBefore w:val="0"/>
        <w:kinsoku/>
        <w:wordWrap/>
        <w:overflowPunct/>
        <w:topLinePunct w:val="0"/>
        <w:autoSpaceDE/>
        <w:autoSpaceDN/>
        <w:bidi w:val="0"/>
        <w:adjustRightInd/>
        <w:snapToGrid w:val="0"/>
        <w:spacing w:after="0" w:line="560" w:lineRule="exact"/>
        <w:ind w:left="0" w:firstLine="642" w:firstLineChars="200"/>
        <w:jc w:val="both"/>
        <w:textAlignment w:val="auto"/>
      </w:pPr>
      <w:r>
        <w:rPr>
          <w:rFonts w:hint="eastAsia" w:ascii="仿宋_GB2312" w:hAnsi="仿宋_GB2312" w:eastAsia="仿宋_GB2312" w:cs="仿宋_GB2312"/>
          <w:b/>
          <w:bCs/>
          <w:color w:val="auto"/>
          <w:kern w:val="0"/>
          <w:sz w:val="32"/>
          <w:szCs w:val="32"/>
          <w:highlight w:val="none"/>
          <w:lang w:val="en-US" w:eastAsia="zh-CN" w:bidi="ar-SA"/>
        </w:rPr>
        <w:t>联系方式：</w:t>
      </w:r>
      <w:r>
        <w:rPr>
          <w:rFonts w:hint="eastAsia" w:ascii="仿宋_GB2312" w:hAnsi="仿宋_GB2312" w:eastAsia="仿宋_GB2312" w:cs="仿宋_GB2312"/>
          <w:color w:val="auto"/>
          <w:kern w:val="0"/>
          <w:sz w:val="32"/>
          <w:szCs w:val="32"/>
          <w:highlight w:val="none"/>
          <w:lang w:val="en-US" w:eastAsia="zh-CN" w:bidi="ar-SA"/>
        </w:rPr>
        <w:t>余镇杰（区科技创新局创新创业部）0755-26470502</w:t>
      </w:r>
      <w:bookmarkEnd w:id="4"/>
      <w:bookmarkStart w:id="29" w:name="_GoBack"/>
      <w:bookmarkEnd w:id="2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8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E51AC"/>
    <w:rsid w:val="57FE51AC"/>
    <w:rsid w:val="5DEFF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5">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6">
    <w:name w:val="Normal (Web)"/>
    <w:basedOn w:val="1"/>
    <w:qFormat/>
    <w:uiPriority w:val="0"/>
    <w:rPr>
      <w:sz w:val="24"/>
    </w:rPr>
  </w:style>
  <w:style w:type="paragraph" w:customStyle="1" w:styleId="9">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2025-11-18T20:47:00Z</dcterms:created>
  <dc:creator>GXL</dc:creator>
  <cp:lastModifiedBy>melon</cp:lastModifiedBy>
  <dcterms:modified xsi:type="dcterms:W3CDTF">2025-11-18T14:35:56Z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9F8E96C6B2E373CD52FA1B69D562DD64_41</vt:lpwstr>
  </property>
</Properties>
</file>