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F958B">
      <w:pPr>
        <w:pStyle w:val="5"/>
        <w:keepNext/>
        <w:keepLines/>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 w:val="0"/>
          <w:bCs w:val="0"/>
          <w:color w:val="auto"/>
          <w:sz w:val="44"/>
          <w:szCs w:val="44"/>
          <w:highlight w:val="none"/>
          <w:lang w:val="en-US" w:eastAsia="zh-CN" w:bidi="ar"/>
        </w:rPr>
      </w:pPr>
      <w:bookmarkStart w:id="25" w:name="_GoBack"/>
      <w:bookmarkStart w:id="0" w:name="_Toc849625750"/>
      <w:bookmarkStart w:id="1" w:name="_Toc1311347947"/>
      <w:bookmarkStart w:id="2" w:name="_Toc1918253433"/>
      <w:bookmarkStart w:id="3" w:name="_Toc1220789790"/>
      <w:bookmarkStart w:id="4" w:name="_Toc769756849"/>
      <w:r>
        <w:rPr>
          <w:rFonts w:hint="eastAsia" w:ascii="方正小标宋_GBK" w:hAnsi="方正小标宋_GBK" w:eastAsia="方正小标宋_GBK" w:cs="方正小标宋_GBK"/>
          <w:color w:val="auto"/>
          <w:highlight w:val="none"/>
          <w:lang w:val="en-US" w:eastAsia="zh-CN"/>
        </w:rPr>
        <w:t>重点产业人才支持行动-游戏</w:t>
      </w:r>
      <w:r>
        <w:rPr>
          <w:rFonts w:hint="eastAsia" w:ascii="方正小标宋_GBK" w:hAnsi="方正小标宋_GBK" w:eastAsia="方正小标宋_GBK" w:cs="方正小标宋_GBK"/>
          <w:b w:val="0"/>
          <w:bCs w:val="0"/>
          <w:color w:val="auto"/>
          <w:sz w:val="44"/>
          <w:szCs w:val="44"/>
          <w:highlight w:val="none"/>
          <w:lang w:val="en-US" w:eastAsia="zh-CN" w:bidi="ar"/>
        </w:rPr>
        <w:t>产业领域</w:t>
      </w:r>
      <w:bookmarkEnd w:id="0"/>
    </w:p>
    <w:p w14:paraId="66307C98">
      <w:pPr>
        <w:pStyle w:val="5"/>
        <w:spacing w:after="0" w:line="560" w:lineRule="exact"/>
        <w:rPr>
          <w:rFonts w:hint="eastAsia" w:ascii="方正小标宋_GBK" w:hAnsi="方正小标宋_GBK" w:eastAsia="方正小标宋_GBK" w:cs="方正小标宋_GBK"/>
          <w:color w:val="auto"/>
          <w:highlight w:val="none"/>
          <w:lang w:val="en-US" w:eastAsia="zh-CN"/>
        </w:rPr>
      </w:pPr>
      <w:bookmarkStart w:id="5" w:name="_Toc1123274185"/>
      <w:r>
        <w:rPr>
          <w:rFonts w:hint="eastAsia" w:ascii="方正小标宋_GBK" w:hAnsi="方正小标宋_GBK" w:eastAsia="方正小标宋_GBK" w:cs="方正小标宋_GBK"/>
          <w:b w:val="0"/>
          <w:bCs w:val="0"/>
          <w:color w:val="auto"/>
          <w:sz w:val="44"/>
          <w:szCs w:val="44"/>
          <w:highlight w:val="none"/>
          <w:lang w:val="en-US" w:eastAsia="zh-CN" w:bidi="ar"/>
        </w:rPr>
        <w:t>骨干人才支持操作规程</w:t>
      </w:r>
      <w:bookmarkEnd w:id="25"/>
      <w:bookmarkEnd w:id="1"/>
      <w:bookmarkEnd w:id="2"/>
      <w:bookmarkEnd w:id="3"/>
      <w:bookmarkEnd w:id="4"/>
      <w:bookmarkEnd w:id="5"/>
    </w:p>
    <w:p w14:paraId="26A0FA34">
      <w:pPr>
        <w:pStyle w:val="5"/>
        <w:spacing w:after="0" w:line="560" w:lineRule="exact"/>
        <w:jc w:val="center"/>
        <w:rPr>
          <w:rFonts w:hint="eastAsia" w:ascii="方正小标宋_GBK" w:hAnsi="方正小标宋_GBK" w:eastAsia="方正小标宋_GBK" w:cs="方正小标宋_GBK"/>
          <w:color w:val="auto"/>
          <w:highlight w:val="none"/>
          <w:lang w:val="en-US" w:eastAsia="zh-CN"/>
        </w:rPr>
      </w:pPr>
    </w:p>
    <w:p w14:paraId="36D2153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一、政策内容</w:t>
      </w:r>
    </w:p>
    <w:p w14:paraId="325DADD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rPr>
          <w:rFonts w:hint="eastAsia"/>
          <w:color w:val="auto"/>
          <w:lang w:val="en-US" w:eastAsia="zh-CN"/>
        </w:rPr>
      </w:pP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sz w:val="32"/>
          <w:szCs w:val="40"/>
          <w:lang w:val="en-US" w:eastAsia="zh-CN"/>
        </w:rPr>
        <w:t>重点</w:t>
      </w:r>
      <w:r>
        <w:rPr>
          <w:rFonts w:hint="eastAsia" w:ascii="仿宋_GB2312" w:hAnsi="仿宋_GB2312" w:eastAsia="仿宋_GB2312" w:cs="仿宋_GB2312"/>
          <w:color w:val="auto"/>
          <w:sz w:val="32"/>
          <w:szCs w:val="32"/>
          <w:highlight w:val="none"/>
          <w:lang w:val="en-US" w:eastAsia="zh-CN"/>
        </w:rPr>
        <w:t>产业领域初创的创新研发型企业的优秀青年骨干人才，符合条件的给予每人最高60万元资助。</w:t>
      </w:r>
    </w:p>
    <w:p w14:paraId="304D733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黑体" w:hAnsi="黑体" w:eastAsia="黑体" w:cs="黑体"/>
          <w:b w:val="0"/>
          <w:bCs w:val="0"/>
          <w:color w:val="auto"/>
          <w:sz w:val="32"/>
          <w:szCs w:val="32"/>
          <w:highlight w:val="none"/>
          <w:lang w:val="en-US" w:eastAsia="zh-CN"/>
        </w:rPr>
        <w:t>二、资助标准</w:t>
      </w:r>
    </w:p>
    <w:p w14:paraId="5DFEDC53">
      <w:pPr>
        <w:keepNext w:val="0"/>
        <w:keepLines w:val="0"/>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color w:val="auto"/>
          <w:kern w:val="0"/>
          <w:sz w:val="32"/>
          <w:szCs w:val="32"/>
          <w:highlight w:val="none"/>
          <w:shd w:val="clear" w:color="auto" w:fill="auto"/>
          <w:lang w:val="en-US" w:eastAsia="zh-CN"/>
        </w:rPr>
      </w:pPr>
      <w:r>
        <w:rPr>
          <w:rFonts w:hint="eastAsia" w:ascii="仿宋_GB2312" w:hAnsi="仿宋_GB2312" w:eastAsia="仿宋_GB2312" w:cs="仿宋_GB2312"/>
          <w:color w:val="auto"/>
          <w:kern w:val="0"/>
          <w:sz w:val="32"/>
          <w:szCs w:val="32"/>
          <w:highlight w:val="none"/>
          <w:shd w:val="clear" w:color="auto" w:fill="auto"/>
          <w:lang w:val="en-US" w:eastAsia="zh-CN"/>
        </w:rPr>
        <w:t>每家企业支持人数最高不超过其缴纳社保员工数的10%（资助人数不足1人时，可资助1人），</w:t>
      </w:r>
      <w:r>
        <w:rPr>
          <w:rFonts w:hint="eastAsia" w:ascii="仿宋_GB2312" w:hAnsi="仿宋_GB2312" w:eastAsia="仿宋_GB2312" w:cs="仿宋_GB2312"/>
          <w:color w:val="auto"/>
          <w:kern w:val="2"/>
          <w:sz w:val="32"/>
          <w:szCs w:val="32"/>
          <w:highlight w:val="none"/>
          <w:lang w:val="en-US" w:eastAsia="zh-CN" w:bidi="ar-SA"/>
        </w:rPr>
        <w:t>最多支持3人</w:t>
      </w:r>
      <w:r>
        <w:rPr>
          <w:rFonts w:hint="eastAsia" w:ascii="仿宋_GB2312" w:hAnsi="仿宋_GB2312" w:eastAsia="仿宋_GB2312" w:cs="仿宋_GB2312"/>
          <w:color w:val="auto"/>
          <w:kern w:val="0"/>
          <w:sz w:val="32"/>
          <w:szCs w:val="32"/>
          <w:highlight w:val="none"/>
          <w:shd w:val="clear" w:color="auto" w:fill="auto"/>
          <w:lang w:val="en-US" w:eastAsia="zh-CN"/>
        </w:rPr>
        <w:t>。资助标准按照资助对象人才积分水平分档支持，每人最高不超过60万元。</w:t>
      </w:r>
    </w:p>
    <w:p w14:paraId="66A6A85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三、设定依据</w:t>
      </w:r>
    </w:p>
    <w:p w14:paraId="5DABD1EA">
      <w:pPr>
        <w:pStyle w:val="5"/>
        <w:numPr>
          <w:ilvl w:val="0"/>
          <w:numId w:val="0"/>
        </w:numPr>
        <w:adjustRightInd/>
        <w:snapToGrid/>
        <w:spacing w:after="0" w:line="560" w:lineRule="exact"/>
        <w:ind w:firstLine="640" w:firstLineChars="200"/>
        <w:jc w:val="both"/>
        <w:rPr>
          <w:rFonts w:hint="eastAsia"/>
          <w:color w:val="auto"/>
          <w:lang w:val="en-US" w:eastAsia="zh-CN"/>
        </w:rPr>
      </w:pPr>
      <w:bookmarkStart w:id="6" w:name="_Toc214842200"/>
      <w:r>
        <w:rPr>
          <w:rFonts w:hint="eastAsia" w:ascii="仿宋_GB2312" w:hAnsi="仿宋_GB2312" w:eastAsia="仿宋_GB2312" w:cs="仿宋_GB2312"/>
          <w:b w:val="0"/>
          <w:bCs w:val="0"/>
          <w:color w:val="auto"/>
          <w:sz w:val="32"/>
          <w:szCs w:val="32"/>
          <w:highlight w:val="none"/>
          <w:vertAlign w:val="baseline"/>
          <w:lang w:val="en-US" w:eastAsia="zh-CN"/>
        </w:rPr>
        <w:t>《南山区支持创新创业“六个一”行动方案》。</w:t>
      </w:r>
      <w:bookmarkEnd w:id="6"/>
    </w:p>
    <w:p w14:paraId="4F7D5A9A">
      <w:pPr>
        <w:keepNext w:val="0"/>
        <w:keepLines w:val="0"/>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黑体" w:hAnsi="黑体" w:eastAsia="黑体" w:cs="黑体"/>
          <w:b w:val="0"/>
          <w:bCs w:val="0"/>
          <w:color w:val="auto"/>
          <w:kern w:val="0"/>
          <w:sz w:val="32"/>
          <w:szCs w:val="32"/>
          <w:highlight w:val="none"/>
          <w:lang w:val="en-US" w:eastAsia="zh-CN" w:bidi="ar-SA"/>
        </w:rPr>
      </w:pPr>
      <w:r>
        <w:rPr>
          <w:rFonts w:hint="eastAsia" w:ascii="黑体" w:hAnsi="黑体" w:eastAsia="黑体" w:cs="黑体"/>
          <w:color w:val="auto"/>
          <w:sz w:val="32"/>
          <w:szCs w:val="32"/>
          <w:highlight w:val="none"/>
          <w:lang w:val="en-US" w:eastAsia="zh-CN"/>
        </w:rPr>
        <w:t>四、申报对象和条件</w:t>
      </w:r>
    </w:p>
    <w:p w14:paraId="59FC1DB8">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Cs w:val="32"/>
        </w:rPr>
        <w:t>（一）企业申报条件：</w:t>
      </w:r>
      <w:r>
        <w:rPr>
          <w:rFonts w:hint="eastAsia" w:ascii="仿宋_GB2312" w:hAnsi="仿宋_GB2312" w:eastAsia="仿宋_GB2312" w:cs="仿宋_GB2312"/>
          <w:color w:val="auto"/>
          <w:sz w:val="32"/>
          <w:szCs w:val="32"/>
          <w:highlight w:val="none"/>
          <w:lang w:val="en-US" w:eastAsia="zh-CN"/>
        </w:rPr>
        <w:t>成立时间须在五年以内（含五年），</w:t>
      </w:r>
      <w:r>
        <w:rPr>
          <w:rFonts w:hint="eastAsia" w:ascii="仿宋_GB2312" w:hAnsi="仿宋_GB2312" w:eastAsia="仿宋_GB2312" w:cs="仿宋_GB2312"/>
          <w:sz w:val="32"/>
          <w:szCs w:val="40"/>
          <w:lang w:val="en-US" w:eastAsia="zh-CN"/>
        </w:rPr>
        <w:t>在南山区依法经营</w:t>
      </w:r>
      <w:r>
        <w:rPr>
          <w:rFonts w:hint="eastAsia" w:ascii="仿宋_GB2312" w:hAnsi="仿宋_GB2312" w:eastAsia="仿宋_GB2312" w:cs="仿宋_GB2312"/>
          <w:color w:val="auto"/>
          <w:sz w:val="32"/>
          <w:szCs w:val="32"/>
          <w:highlight w:val="none"/>
          <w:lang w:val="en-US" w:eastAsia="zh-CN"/>
        </w:rPr>
        <w:t>；主营业务应属于电子游戏</w:t>
      </w:r>
      <w:r>
        <w:rPr>
          <w:rFonts w:hint="eastAsia" w:ascii="仿宋_GB2312" w:hAnsi="仿宋_GB2312" w:cs="仿宋_GB2312"/>
          <w:color w:val="auto"/>
          <w:sz w:val="32"/>
          <w:szCs w:val="32"/>
          <w:highlight w:val="none"/>
          <w:lang w:val="en-US" w:eastAsia="zh-CN"/>
        </w:rPr>
        <w:t>产品及平台研发领域</w:t>
      </w:r>
      <w:r>
        <w:rPr>
          <w:rFonts w:hint="eastAsia" w:ascii="仿宋_GB2312" w:hAnsi="仿宋_GB2312" w:eastAsia="仿宋_GB2312" w:cs="仿宋_GB2312"/>
          <w:color w:val="auto"/>
          <w:sz w:val="32"/>
          <w:szCs w:val="32"/>
          <w:highlight w:val="none"/>
          <w:lang w:val="en-US" w:eastAsia="zh-CN"/>
        </w:rPr>
        <w:t>，包括但不限于游戏内容创作</w:t>
      </w:r>
      <w:r>
        <w:rPr>
          <w:rFonts w:hint="eastAsia" w:ascii="仿宋_GB2312" w:hAnsi="仿宋_GB2312" w:cs="仿宋_GB2312"/>
          <w:color w:val="auto"/>
          <w:sz w:val="32"/>
          <w:szCs w:val="32"/>
          <w:highlight w:val="none"/>
          <w:lang w:val="en-US" w:eastAsia="zh-CN"/>
        </w:rPr>
        <w:t>、产品研发、</w:t>
      </w:r>
      <w:r>
        <w:rPr>
          <w:rFonts w:hint="eastAsia" w:ascii="仿宋_GB2312" w:hAnsi="仿宋_GB2312" w:eastAsia="仿宋_GB2312" w:cs="仿宋_GB2312"/>
          <w:color w:val="auto"/>
          <w:sz w:val="32"/>
          <w:szCs w:val="32"/>
          <w:highlight w:val="none"/>
          <w:lang w:val="en-US" w:eastAsia="zh-CN"/>
        </w:rPr>
        <w:t>引擎与工具开发</w:t>
      </w:r>
      <w:r>
        <w:rPr>
          <w:rFonts w:hint="eastAsia" w:ascii="仿宋_GB2312" w:hAnsi="仿宋_GB2312" w:cs="仿宋_GB2312"/>
          <w:color w:val="auto"/>
          <w:sz w:val="32"/>
          <w:szCs w:val="32"/>
          <w:highlight w:val="none"/>
          <w:lang w:val="en-US" w:eastAsia="zh-CN"/>
        </w:rPr>
        <w:t>、游戏分发及相关核心技术研发</w:t>
      </w:r>
      <w:r>
        <w:rPr>
          <w:rFonts w:hint="eastAsia" w:ascii="仿宋_GB2312" w:hAnsi="仿宋_GB2312" w:eastAsia="仿宋_GB2312" w:cs="仿宋_GB2312"/>
          <w:color w:val="auto"/>
          <w:sz w:val="32"/>
          <w:szCs w:val="32"/>
          <w:highlight w:val="none"/>
          <w:lang w:val="en-US" w:eastAsia="zh-CN"/>
        </w:rPr>
        <w:t>等方向。</w:t>
      </w:r>
    </w:p>
    <w:p w14:paraId="798E8CE7">
      <w:pPr>
        <w:pStyle w:val="2"/>
        <w:keepNext w:val="0"/>
        <w:keepLines w:val="0"/>
        <w:pageBreakBefore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申报企业需</w:t>
      </w:r>
      <w:r>
        <w:rPr>
          <w:rFonts w:hint="eastAsia" w:ascii="仿宋_GB2312" w:hAnsi="仿宋_GB2312" w:eastAsia="仿宋_GB2312" w:cs="仿宋_GB2312"/>
          <w:color w:val="auto"/>
          <w:sz w:val="32"/>
          <w:szCs w:val="32"/>
        </w:rPr>
        <w:t>符合</w:t>
      </w:r>
      <w:r>
        <w:rPr>
          <w:rFonts w:hint="eastAsia" w:ascii="仿宋_GB2312" w:hAnsi="仿宋_GB2312" w:eastAsia="仿宋_GB2312" w:cs="仿宋_GB2312"/>
          <w:color w:val="auto"/>
          <w:sz w:val="32"/>
          <w:szCs w:val="32"/>
          <w:lang w:eastAsia="zh-CN"/>
        </w:rPr>
        <w:t>以下</w:t>
      </w:r>
      <w:r>
        <w:rPr>
          <w:rFonts w:hint="eastAsia" w:ascii="仿宋_GB2312" w:hAnsi="仿宋_GB2312" w:eastAsia="仿宋_GB2312" w:cs="仿宋_GB2312"/>
          <w:color w:val="auto"/>
          <w:sz w:val="32"/>
          <w:szCs w:val="32"/>
        </w:rPr>
        <w:t>标准</w:t>
      </w:r>
      <w:r>
        <w:rPr>
          <w:rFonts w:hint="eastAsia" w:ascii="仿宋_GB2312" w:hAnsi="仿宋_GB2312" w:eastAsia="仿宋_GB2312" w:cs="仿宋_GB2312"/>
          <w:color w:val="auto"/>
          <w:sz w:val="32"/>
          <w:szCs w:val="32"/>
          <w:lang w:eastAsia="zh-CN"/>
        </w:rPr>
        <w:t>之一：</w:t>
      </w:r>
    </w:p>
    <w:p w14:paraId="2D08F708">
      <w:pPr>
        <w:pStyle w:val="2"/>
        <w:keepNext w:val="0"/>
        <w:keepLines w:val="0"/>
        <w:pageBreakBefore w:val="0"/>
        <w:numPr>
          <w:ilvl w:val="-1"/>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1</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累计融资额达到</w:t>
      </w:r>
      <w:r>
        <w:rPr>
          <w:rFonts w:hint="eastAsia" w:ascii="仿宋_GB2312" w:hAnsi="仿宋_GB2312" w:cs="仿宋_GB2312"/>
          <w:color w:val="auto"/>
          <w:sz w:val="32"/>
          <w:szCs w:val="32"/>
          <w:highlight w:val="none"/>
          <w:lang w:val="en-US" w:eastAsia="zh-CN"/>
        </w:rPr>
        <w:t>1500</w:t>
      </w:r>
      <w:r>
        <w:rPr>
          <w:rFonts w:hint="eastAsia" w:ascii="仿宋_GB2312" w:hAnsi="仿宋_GB2312" w:eastAsia="仿宋_GB2312" w:cs="仿宋_GB2312"/>
          <w:color w:val="auto"/>
          <w:sz w:val="32"/>
          <w:szCs w:val="32"/>
          <w:highlight w:val="none"/>
        </w:rPr>
        <w:t>万元（含）以上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且企业自研游戏产品研发投入须达到500万元（含）以上；</w:t>
      </w:r>
    </w:p>
    <w:p w14:paraId="3C963EA8">
      <w:pPr>
        <w:pStyle w:val="2"/>
        <w:keepNext w:val="0"/>
        <w:keepLines w:val="0"/>
        <w:pageBreakBefore w:val="0"/>
        <w:numPr>
          <w:ilvl w:val="-1"/>
          <w:numId w:val="0"/>
        </w:numPr>
        <w:kinsoku/>
        <w:wordWrap/>
        <w:overflowPunct/>
        <w:topLinePunct w:val="0"/>
        <w:autoSpaceDE/>
        <w:autoSpaceDN/>
        <w:bidi w:val="0"/>
        <w:adjustRightInd w:val="0"/>
        <w:snapToGrid w:val="0"/>
        <w:spacing w:after="0"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近两年</w:t>
      </w:r>
      <w:r>
        <w:rPr>
          <w:rFonts w:hint="eastAsia" w:ascii="仿宋_GB2312" w:hAnsi="仿宋_GB2312" w:cs="仿宋_GB2312"/>
          <w:color w:val="auto"/>
          <w:sz w:val="32"/>
          <w:szCs w:val="32"/>
          <w:highlight w:val="none"/>
          <w:lang w:val="en-US" w:eastAsia="zh-CN"/>
        </w:rPr>
        <w:t>内，</w:t>
      </w:r>
      <w:r>
        <w:rPr>
          <w:rFonts w:hint="eastAsia" w:ascii="仿宋_GB2312" w:hAnsi="仿宋_GB2312" w:eastAsia="仿宋_GB2312" w:cs="仿宋_GB2312"/>
          <w:color w:val="auto"/>
          <w:sz w:val="32"/>
          <w:szCs w:val="32"/>
          <w:highlight w:val="none"/>
        </w:rPr>
        <w:t>获得市、区属国有基金</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清科集团上年度“中国创业投资机构100强”前</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rPr>
        <w:t>名机构</w:t>
      </w:r>
      <w:r>
        <w:rPr>
          <w:rFonts w:hint="eastAsia" w:ascii="仿宋_GB2312" w:hAnsi="仿宋_GB2312" w:eastAsia="仿宋_GB2312" w:cs="仿宋_GB2312"/>
          <w:color w:val="auto"/>
          <w:kern w:val="2"/>
          <w:sz w:val="32"/>
          <w:szCs w:val="32"/>
          <w:highlight w:val="none"/>
          <w:lang w:val="en-US" w:eastAsia="zh-CN" w:bidi="ar-SA"/>
        </w:rPr>
        <w:t>、“中国早期投资机构30强”</w:t>
      </w:r>
      <w:r>
        <w:rPr>
          <w:rFonts w:hint="eastAsia" w:ascii="仿宋_GB2312" w:hAnsi="仿宋_GB2312" w:cs="仿宋_GB2312"/>
          <w:color w:val="auto"/>
          <w:kern w:val="2"/>
          <w:sz w:val="32"/>
          <w:szCs w:val="32"/>
          <w:highlight w:val="none"/>
          <w:lang w:val="en-US" w:eastAsia="zh-CN" w:bidi="ar-SA"/>
        </w:rPr>
        <w:t>机构</w:t>
      </w:r>
      <w:r>
        <w:rPr>
          <w:rFonts w:hint="eastAsia" w:ascii="仿宋_GB2312" w:hAnsi="仿宋_GB2312" w:eastAsia="仿宋_GB2312" w:cs="仿宋_GB2312"/>
          <w:color w:val="auto"/>
          <w:kern w:val="2"/>
          <w:sz w:val="32"/>
          <w:szCs w:val="32"/>
          <w:highlight w:val="none"/>
          <w:lang w:val="en-US" w:eastAsia="zh-CN" w:bidi="ar-SA"/>
        </w:rPr>
        <w:t>投</w:t>
      </w:r>
      <w:r>
        <w:rPr>
          <w:rFonts w:hint="eastAsia" w:ascii="仿宋_GB2312" w:hAnsi="仿宋_GB2312" w:eastAsia="仿宋_GB2312" w:cs="仿宋_GB2312"/>
          <w:color w:val="auto"/>
          <w:sz w:val="32"/>
          <w:szCs w:val="32"/>
          <w:highlight w:val="none"/>
        </w:rPr>
        <w:t>资，累计融资额达到</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000万元（含）以上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且企业自研游戏产品研发投入须达到500万元（含）以上；</w:t>
      </w:r>
    </w:p>
    <w:p w14:paraId="1C50E828">
      <w:pPr>
        <w:pStyle w:val="2"/>
        <w:keepNext w:val="0"/>
        <w:keepLines w:val="0"/>
        <w:pageBreakBefore w:val="0"/>
        <w:numPr>
          <w:ilvl w:val="-1"/>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（3）获得知名游戏企业投资的企业；</w:t>
      </w:r>
      <w:r>
        <w:rPr>
          <w:rFonts w:hint="eastAsia" w:ascii="仿宋_GB2312" w:hAnsi="仿宋_GB2312" w:eastAsia="仿宋_GB2312" w:cs="仿宋_GB2312"/>
          <w:color w:val="auto"/>
          <w:sz w:val="32"/>
          <w:szCs w:val="32"/>
          <w:highlight w:val="none"/>
          <w:lang w:val="en-US" w:eastAsia="zh-CN"/>
        </w:rPr>
        <w:t>（注：本规程所称的知名游戏企业指“</w:t>
      </w:r>
      <w:r>
        <w:rPr>
          <w:rFonts w:hint="eastAsia" w:ascii="仿宋_GB2312" w:hAnsi="仿宋_GB2312" w:cs="仿宋_GB2312"/>
          <w:color w:val="auto"/>
          <w:sz w:val="32"/>
          <w:szCs w:val="32"/>
          <w:highlight w:val="none"/>
          <w:lang w:val="en-US" w:eastAsia="zh-CN"/>
        </w:rPr>
        <w:t>中国</w:t>
      </w:r>
      <w:r>
        <w:rPr>
          <w:rFonts w:hint="eastAsia" w:ascii="仿宋_GB2312" w:hAnsi="仿宋_GB2312" w:eastAsia="仿宋_GB2312" w:cs="仿宋_GB2312"/>
          <w:color w:val="auto"/>
          <w:sz w:val="32"/>
          <w:szCs w:val="32"/>
          <w:highlight w:val="none"/>
          <w:lang w:val="en-US" w:eastAsia="zh-CN"/>
        </w:rPr>
        <w:t>音数协年度游戏十强”评选中荣获或提名优秀游戏科技创新企业、优秀“走出去”游戏企业、优秀游戏运营企业的单位及入围“金钻盛典”广东游戏企业20强的单位。）</w:t>
      </w:r>
      <w:r>
        <w:rPr>
          <w:rFonts w:hint="eastAsia" w:ascii="仿宋_GB2312" w:hAnsi="仿宋_GB2312" w:cs="仿宋_GB2312"/>
          <w:color w:val="auto"/>
          <w:sz w:val="32"/>
          <w:szCs w:val="32"/>
          <w:highlight w:val="none"/>
          <w:lang w:val="en-US" w:eastAsia="zh-CN"/>
        </w:rPr>
        <w:t>或在南山区政府主办的“X-Day”西丽湖路演等品牌投融资活动中获得投资，且企业自研游戏产品研发投入须达到500万元（含）以上；</w:t>
      </w:r>
    </w:p>
    <w:p w14:paraId="1EFE9189">
      <w:pPr>
        <w:pStyle w:val="2"/>
        <w:keepNext w:val="0"/>
        <w:keepLines w:val="0"/>
        <w:pageBreakBefore w:val="0"/>
        <w:numPr>
          <w:ilvl w:val="-1"/>
          <w:numId w:val="0"/>
        </w:numPr>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（4）近两年内，</w:t>
      </w:r>
      <w:r>
        <w:rPr>
          <w:rFonts w:hint="eastAsia" w:ascii="仿宋_GB2312" w:hAnsi="仿宋_GB2312" w:eastAsia="仿宋_GB2312" w:cs="仿宋_GB2312"/>
          <w:color w:val="auto"/>
          <w:sz w:val="32"/>
          <w:szCs w:val="32"/>
          <w:highlight w:val="none"/>
          <w:lang w:val="en-US" w:eastAsia="zh-CN"/>
        </w:rPr>
        <w:t>企业产品</w:t>
      </w:r>
      <w:r>
        <w:rPr>
          <w:rFonts w:hint="default" w:ascii="仿宋_GB2312" w:hAnsi="仿宋_GB2312" w:eastAsia="仿宋_GB2312" w:cs="仿宋_GB2312"/>
          <w:color w:val="auto"/>
          <w:sz w:val="32"/>
          <w:szCs w:val="32"/>
          <w:highlight w:val="none"/>
          <w:lang w:val="en-US" w:eastAsia="zh-CN"/>
        </w:rPr>
        <w:t>入选国家新闻出版署网络游戏精品出版工程</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中国音数协游戏十强年度榜</w:t>
      </w:r>
      <w:r>
        <w:rPr>
          <w:rFonts w:hint="eastAsia" w:ascii="仿宋_GB2312" w:hAnsi="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广东原创网络游戏精品项目</w:t>
      </w:r>
      <w:r>
        <w:rPr>
          <w:rFonts w:hint="eastAsia" w:ascii="仿宋_GB2312" w:hAnsi="仿宋_GB2312" w:eastAsia="仿宋_GB2312" w:cs="仿宋_GB2312"/>
          <w:color w:val="auto"/>
          <w:sz w:val="32"/>
          <w:szCs w:val="32"/>
          <w:highlight w:val="none"/>
          <w:lang w:val="en-US" w:eastAsia="zh-CN"/>
        </w:rPr>
        <w:t>；企业产品</w:t>
      </w:r>
      <w:r>
        <w:rPr>
          <w:rFonts w:hint="default" w:ascii="仿宋_GB2312" w:hAnsi="仿宋_GB2312" w:eastAsia="仿宋_GB2312" w:cs="仿宋_GB2312"/>
          <w:color w:val="auto"/>
          <w:sz w:val="32"/>
          <w:szCs w:val="32"/>
          <w:highlight w:val="none"/>
          <w:lang w:val="en-US" w:eastAsia="zh-CN"/>
        </w:rPr>
        <w:t>入选TGA（The Game Awards）、金摇杆奖等国际权威奖项</w:t>
      </w:r>
      <w:r>
        <w:rPr>
          <w:rFonts w:hint="eastAsia" w:ascii="仿宋_GB2312" w:hAnsi="仿宋_GB2312" w:cs="仿宋_GB2312"/>
          <w:color w:val="auto"/>
          <w:sz w:val="32"/>
          <w:szCs w:val="32"/>
          <w:highlight w:val="none"/>
          <w:lang w:val="en-US" w:eastAsia="zh-CN"/>
        </w:rPr>
        <w:t>；</w:t>
      </w:r>
    </w:p>
    <w:p w14:paraId="1C15B38B">
      <w:pPr>
        <w:pStyle w:val="2"/>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val="en-US" w:eastAsia="zh-CN"/>
        </w:rPr>
        <w:t>（5）近两年内，在</w:t>
      </w:r>
      <w:r>
        <w:rPr>
          <w:rFonts w:hint="eastAsia" w:ascii="仿宋_GB2312" w:hAnsi="仿宋_GB2312" w:eastAsia="仿宋_GB2312" w:cs="仿宋_GB2312"/>
          <w:color w:val="auto"/>
          <w:sz w:val="32"/>
          <w:szCs w:val="32"/>
          <w:highlight w:val="none"/>
          <w:lang w:val="en-US" w:eastAsia="zh-CN"/>
        </w:rPr>
        <w:t>中国创新创业大赛全国总决赛、中国深圳创新创业大赛决赛、“创业之星”游戏产业专项赛决赛获奖及入围的企业，以及轻游梦工坊全国游戏创作大赛获得各综合奖、专项奖及入围奖的企业，其自研游戏产品</w:t>
      </w:r>
      <w:r>
        <w:rPr>
          <w:rFonts w:hint="eastAsia" w:ascii="仿宋_GB2312" w:hAnsi="仿宋_GB2312" w:cs="仿宋_GB2312"/>
          <w:color w:val="auto"/>
          <w:sz w:val="32"/>
          <w:szCs w:val="32"/>
          <w:highlight w:val="none"/>
          <w:lang w:val="en-US" w:eastAsia="zh-CN"/>
        </w:rPr>
        <w:t>累计</w:t>
      </w:r>
      <w:r>
        <w:rPr>
          <w:rFonts w:hint="eastAsia" w:ascii="仿宋_GB2312" w:hAnsi="仿宋_GB2312" w:eastAsia="仿宋_GB2312" w:cs="仿宋_GB2312"/>
          <w:color w:val="auto"/>
          <w:sz w:val="32"/>
          <w:szCs w:val="32"/>
          <w:highlight w:val="none"/>
          <w:lang w:val="en-US" w:eastAsia="zh-CN"/>
        </w:rPr>
        <w:t>研发投入达100万元（含）以上，且每家企业就同一届赛事所获奖项，仅能作为本条款的申报依据使用一次</w:t>
      </w:r>
      <w:r>
        <w:rPr>
          <w:rFonts w:hint="eastAsia" w:ascii="仿宋_GB2312" w:hAnsi="仿宋_GB2312" w:cs="仿宋_GB2312"/>
          <w:color w:val="auto"/>
          <w:sz w:val="32"/>
          <w:szCs w:val="32"/>
          <w:lang w:val="en-US" w:eastAsia="zh-CN"/>
        </w:rPr>
        <w:t>。</w:t>
      </w:r>
    </w:p>
    <w:p w14:paraId="63D8AF39">
      <w:pPr>
        <w:keepNext w:val="0"/>
        <w:keepLines w:val="0"/>
        <w:pageBreakBefore w:val="0"/>
        <w:widowControl w:val="0"/>
        <w:numPr>
          <w:ilvl w:val="0"/>
          <w:numId w:val="0"/>
        </w:numPr>
        <w:kinsoku/>
        <w:wordWrap/>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（6）从事游戏分发平台业务的企业，</w:t>
      </w:r>
      <w:r>
        <w:rPr>
          <w:rFonts w:hint="eastAsia" w:ascii="仿宋_GB2312" w:hAnsi="仿宋_GB2312" w:eastAsia="仿宋_GB2312" w:cs="仿宋_GB2312"/>
          <w:color w:val="auto"/>
          <w:kern w:val="2"/>
          <w:sz w:val="32"/>
          <w:szCs w:val="32"/>
          <w:highlight w:val="none"/>
          <w:lang w:val="en-US" w:eastAsia="zh-CN" w:bidi="ar-SA"/>
        </w:rPr>
        <w:t>上年度游戏分发业务营收达到5000万元（含）以上（需提供第三方审计报告），或获得知名风险投资机构投资达到2000万元（含）以上。</w:t>
      </w:r>
    </w:p>
    <w:p w14:paraId="3FB92848">
      <w:pPr>
        <w:pStyle w:val="2"/>
        <w:keepNext w:val="0"/>
        <w:keepLines w:val="0"/>
        <w:pageBreakBefore w:val="0"/>
        <w:numPr>
          <w:ilvl w:val="-1"/>
          <w:numId w:val="0"/>
        </w:numPr>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经</w:t>
      </w:r>
      <w:r>
        <w:rPr>
          <w:rFonts w:hint="eastAsia" w:ascii="仿宋_GB2312" w:hAnsi="仿宋_GB2312" w:cs="仿宋_GB2312"/>
          <w:color w:val="auto"/>
          <w:sz w:val="32"/>
          <w:szCs w:val="32"/>
          <w:highlight w:val="none"/>
          <w:lang w:val="en-US" w:eastAsia="zh-CN"/>
        </w:rPr>
        <w:t>区工业和信息化局</w:t>
      </w:r>
      <w:r>
        <w:rPr>
          <w:rFonts w:hint="eastAsia" w:ascii="仿宋_GB2312" w:hAnsi="仿宋_GB2312" w:eastAsia="仿宋_GB2312" w:cs="仿宋_GB2312"/>
          <w:color w:val="auto"/>
          <w:sz w:val="32"/>
          <w:szCs w:val="32"/>
          <w:highlight w:val="none"/>
          <w:lang w:val="en-US" w:eastAsia="zh-CN"/>
        </w:rPr>
        <w:t>认定的在游戏领域具有显著技术突破或市场潜力的企业，不受上述申报条件限制。</w:t>
      </w:r>
    </w:p>
    <w:p w14:paraId="00DB9D2F">
      <w:pPr>
        <w:pStyle w:val="2"/>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（二）资助对象条件</w:t>
      </w:r>
    </w:p>
    <w:p w14:paraId="68F70D6B">
      <w:pPr>
        <w:pStyle w:val="2"/>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获得资助配额指标的企业，可以根据以下条件自主推荐资助对象：</w:t>
      </w:r>
    </w:p>
    <w:p w14:paraId="048B70CD">
      <w:pPr>
        <w:pStyle w:val="2"/>
        <w:keepNext w:val="0"/>
        <w:keepLines w:val="0"/>
        <w:pageBreakBefore w:val="0"/>
        <w:numPr>
          <w:ilvl w:val="0"/>
          <w:numId w:val="0"/>
        </w:numPr>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auto"/>
          <w:szCs w:val="32"/>
          <w:highlight w:val="none"/>
          <w:lang w:val="en-US" w:eastAsia="zh-CN"/>
        </w:rPr>
      </w:pPr>
      <w:r>
        <w:rPr>
          <w:rFonts w:hint="default"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lang w:val="en-US" w:eastAsia="zh-CN"/>
        </w:rPr>
        <w:t>资助对象在南山区缴纳个人所得税，无严重违法行为，非严重失信主体，年龄在</w:t>
      </w:r>
      <w:r>
        <w:rPr>
          <w:rFonts w:hint="default" w:ascii="仿宋_GB2312" w:hAnsi="仿宋_GB2312" w:cs="仿宋_GB2312"/>
          <w:color w:val="auto"/>
          <w:szCs w:val="32"/>
          <w:highlight w:val="none"/>
          <w:lang w:val="en-US" w:eastAsia="zh-CN"/>
        </w:rPr>
        <w:t>40</w:t>
      </w:r>
      <w:r>
        <w:rPr>
          <w:rFonts w:hint="eastAsia" w:ascii="仿宋_GB2312" w:hAnsi="仿宋_GB2312" w:cs="仿宋_GB2312"/>
          <w:color w:val="auto"/>
          <w:szCs w:val="32"/>
          <w:highlight w:val="none"/>
          <w:lang w:val="en-US" w:eastAsia="zh-CN"/>
        </w:rPr>
        <w:t>周岁及以下（以</w:t>
      </w:r>
      <w:r>
        <w:rPr>
          <w:rFonts w:hint="eastAsia" w:ascii="仿宋_GB2312" w:hAnsi="仿宋_GB2312" w:cs="仿宋_GB2312"/>
          <w:color w:val="auto"/>
          <w:sz w:val="32"/>
          <w:szCs w:val="32"/>
          <w:highlight w:val="none"/>
          <w:shd w:val="clear" w:color="auto" w:fill="auto"/>
          <w:lang w:val="en-US" w:eastAsia="zh-CN"/>
        </w:rPr>
        <w:t>提交申报材料</w:t>
      </w:r>
      <w:r>
        <w:rPr>
          <w:rFonts w:hint="eastAsia" w:ascii="仿宋_GB2312" w:hAnsi="仿宋_GB2312" w:eastAsia="仿宋_GB2312" w:cs="仿宋_GB2312"/>
          <w:color w:val="auto"/>
          <w:sz w:val="32"/>
          <w:szCs w:val="32"/>
          <w:highlight w:val="none"/>
          <w:shd w:val="clear" w:color="auto" w:fill="auto"/>
        </w:rPr>
        <w:t>日期</w:t>
      </w:r>
      <w:r>
        <w:rPr>
          <w:rFonts w:hint="eastAsia" w:ascii="仿宋_GB2312" w:hAnsi="仿宋_GB2312" w:cs="仿宋_GB2312"/>
          <w:color w:val="auto"/>
          <w:szCs w:val="32"/>
          <w:highlight w:val="none"/>
          <w:lang w:val="en-US" w:eastAsia="zh-CN"/>
        </w:rPr>
        <w:t>为准）</w:t>
      </w:r>
      <w:r>
        <w:rPr>
          <w:rFonts w:hint="eastAsia" w:ascii="仿宋_GB2312" w:hAnsi="仿宋_GB2312" w:eastAsia="仿宋_GB2312" w:cs="仿宋_GB2312"/>
          <w:color w:val="auto"/>
          <w:szCs w:val="32"/>
          <w:highlight w:val="none"/>
          <w:lang w:val="en-US" w:eastAsia="zh-CN"/>
        </w:rPr>
        <w:t>；</w:t>
      </w:r>
    </w:p>
    <w:p w14:paraId="565F467A">
      <w:pPr>
        <w:keepNext w:val="0"/>
        <w:keepLines w:val="0"/>
        <w:pageBreakBefore w:val="0"/>
        <w:widowControl/>
        <w:suppressLineNumbers w:val="0"/>
        <w:kinsoku/>
        <w:wordWrap/>
        <w:overflowPunct/>
        <w:topLinePunct w:val="0"/>
        <w:autoSpaceDE/>
        <w:autoSpaceDN/>
        <w:bidi w:val="0"/>
        <w:spacing w:after="0" w:line="560" w:lineRule="exact"/>
        <w:ind w:firstLine="640" w:firstLineChars="200"/>
        <w:jc w:val="left"/>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资助对象</w:t>
      </w:r>
      <w:r>
        <w:rPr>
          <w:rFonts w:hint="eastAsia" w:ascii="仿宋_GB2312" w:hAnsi="仿宋_GB2312" w:eastAsia="仿宋_GB2312" w:cs="仿宋_GB2312"/>
          <w:color w:val="auto"/>
          <w:sz w:val="32"/>
          <w:szCs w:val="32"/>
          <w:highlight w:val="none"/>
          <w:lang w:eastAsia="zh-CN"/>
        </w:rPr>
        <w:t>在申报企业担任高级专业技术</w:t>
      </w:r>
      <w:r>
        <w:rPr>
          <w:rFonts w:hint="eastAsia" w:ascii="仿宋_GB2312" w:hAnsi="仿宋_GB2312" w:eastAsia="仿宋_GB2312" w:cs="仿宋_GB2312"/>
          <w:color w:val="auto"/>
          <w:sz w:val="32"/>
          <w:szCs w:val="32"/>
          <w:highlight w:val="none"/>
          <w:lang w:val="en-US" w:eastAsia="zh-CN"/>
        </w:rPr>
        <w:t>岗位</w:t>
      </w:r>
      <w:r>
        <w:rPr>
          <w:rFonts w:hint="eastAsia" w:ascii="仿宋_GB2312" w:hAnsi="仿宋_GB2312" w:eastAsia="仿宋_GB2312" w:cs="仿宋_GB2312"/>
          <w:color w:val="auto"/>
          <w:sz w:val="32"/>
          <w:szCs w:val="32"/>
          <w:highlight w:val="none"/>
          <w:lang w:eastAsia="zh-CN"/>
        </w:rPr>
        <w:t>、高级管理</w:t>
      </w:r>
      <w:r>
        <w:rPr>
          <w:rFonts w:hint="eastAsia" w:ascii="仿宋_GB2312" w:hAnsi="仿宋_GB2312" w:eastAsia="仿宋_GB2312" w:cs="仿宋_GB2312"/>
          <w:color w:val="auto"/>
          <w:sz w:val="32"/>
          <w:szCs w:val="32"/>
          <w:highlight w:val="none"/>
          <w:lang w:val="en-US" w:eastAsia="zh-CN"/>
        </w:rPr>
        <w:t>岗位</w:t>
      </w:r>
      <w:r>
        <w:rPr>
          <w:rFonts w:hint="eastAsia" w:ascii="仿宋_GB2312" w:hAnsi="仿宋_GB2312" w:eastAsia="仿宋_GB2312" w:cs="仿宋_GB2312"/>
          <w:color w:val="auto"/>
          <w:sz w:val="32"/>
          <w:szCs w:val="32"/>
          <w:highlight w:val="none"/>
          <w:lang w:eastAsia="zh-CN"/>
        </w:rPr>
        <w:t>，或核心创作岗位，</w:t>
      </w:r>
      <w:r>
        <w:rPr>
          <w:rFonts w:hint="eastAsia" w:ascii="仿宋_GB2312" w:hAnsi="仿宋_GB2312" w:eastAsia="仿宋_GB2312" w:cs="仿宋_GB2312"/>
          <w:color w:val="auto"/>
          <w:sz w:val="32"/>
          <w:szCs w:val="32"/>
          <w:highlight w:val="none"/>
          <w:lang w:val="en-US" w:eastAsia="zh-CN"/>
        </w:rPr>
        <w:t>在申报企业内任职满一年</w:t>
      </w:r>
      <w:r>
        <w:rPr>
          <w:rFonts w:hint="eastAsia" w:ascii="仿宋_GB2312" w:hAnsi="仿宋_GB2312" w:eastAsia="仿宋_GB2312" w:cs="仿宋_GB2312"/>
          <w:color w:val="auto"/>
          <w:sz w:val="32"/>
          <w:szCs w:val="32"/>
          <w:highlight w:val="none"/>
          <w:lang w:eastAsia="zh-CN"/>
        </w:rPr>
        <w:t>（包括但不限于主制作人、主策划、主美术、主程序、</w:t>
      </w:r>
      <w:r>
        <w:rPr>
          <w:rFonts w:hint="eastAsia" w:ascii="仿宋_GB2312" w:hAnsi="仿宋_GB2312" w:eastAsia="仿宋_GB2312" w:cs="仿宋_GB2312"/>
          <w:color w:val="auto"/>
          <w:sz w:val="32"/>
          <w:szCs w:val="32"/>
          <w:highlight w:val="none"/>
          <w:lang w:val="en-US" w:eastAsia="zh-CN"/>
        </w:rPr>
        <w:t>系统架构师、引擎开发专家、高级渲染师、分发平台产品经理、高级开发工程师</w:t>
      </w:r>
      <w:r>
        <w:rPr>
          <w:rFonts w:hint="eastAsia" w:ascii="仿宋_GB2312" w:hAnsi="仿宋_GB2312" w:eastAsia="仿宋_GB2312" w:cs="仿宋_GB2312"/>
          <w:color w:val="auto"/>
          <w:sz w:val="32"/>
          <w:szCs w:val="32"/>
          <w:highlight w:val="none"/>
          <w:lang w:eastAsia="zh-CN"/>
        </w:rPr>
        <w:t>等）。</w:t>
      </w:r>
    </w:p>
    <w:p w14:paraId="50787DE7">
      <w:pPr>
        <w:pStyle w:val="2"/>
        <w:keepNext w:val="0"/>
        <w:keepLines/>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表1 人才积分评测表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6222"/>
        <w:gridCol w:w="1119"/>
      </w:tblGrid>
      <w:tr w14:paraId="0B527A71">
        <w:tc>
          <w:tcPr>
            <w:tcW w:w="1181" w:type="dxa"/>
            <w:tcBorders>
              <w:bottom w:val="single" w:color="auto" w:sz="4" w:space="0"/>
            </w:tcBorders>
            <w:noWrap w:val="0"/>
            <w:vAlign w:val="top"/>
          </w:tcPr>
          <w:p w14:paraId="7DF85F38">
            <w:pPr>
              <w:pStyle w:val="2"/>
              <w:keepNext w:val="0"/>
              <w:keepLines/>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cs="仿宋_GB2312"/>
                <w:b/>
                <w:bCs/>
                <w:color w:val="auto"/>
                <w:sz w:val="24"/>
                <w:szCs w:val="24"/>
                <w:highlight w:val="none"/>
                <w:vertAlign w:val="baseline"/>
                <w:lang w:val="en-US" w:eastAsia="zh-CN"/>
              </w:rPr>
              <w:t>维度</w:t>
            </w:r>
          </w:p>
        </w:tc>
        <w:tc>
          <w:tcPr>
            <w:tcW w:w="6222" w:type="dxa"/>
            <w:tcBorders>
              <w:bottom w:val="single" w:color="auto" w:sz="4" w:space="0"/>
            </w:tcBorders>
            <w:noWrap w:val="0"/>
            <w:vAlign w:val="top"/>
          </w:tcPr>
          <w:p w14:paraId="68F18964">
            <w:pPr>
              <w:pStyle w:val="2"/>
              <w:keepNext w:val="0"/>
              <w:keepLines/>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指标</w:t>
            </w:r>
          </w:p>
        </w:tc>
        <w:tc>
          <w:tcPr>
            <w:tcW w:w="1119" w:type="dxa"/>
            <w:tcBorders>
              <w:bottom w:val="single" w:color="auto" w:sz="4" w:space="0"/>
            </w:tcBorders>
            <w:noWrap w:val="0"/>
            <w:vAlign w:val="top"/>
          </w:tcPr>
          <w:p w14:paraId="60EE030E">
            <w:pPr>
              <w:pStyle w:val="2"/>
              <w:keepNext w:val="0"/>
              <w:keepLines/>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分值</w:t>
            </w:r>
          </w:p>
        </w:tc>
      </w:tr>
      <w:tr w14:paraId="0BE46144">
        <w:tc>
          <w:tcPr>
            <w:tcW w:w="1181" w:type="dxa"/>
            <w:vMerge w:val="restart"/>
            <w:tcBorders>
              <w:top w:val="single" w:color="auto" w:sz="4" w:space="0"/>
            </w:tcBorders>
            <w:noWrap w:val="0"/>
            <w:vAlign w:val="center"/>
          </w:tcPr>
          <w:p w14:paraId="3823E00B">
            <w:pPr>
              <w:pStyle w:val="2"/>
              <w:keepNext w:val="0"/>
              <w:keepLines/>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能力维度</w:t>
            </w:r>
          </w:p>
        </w:tc>
        <w:tc>
          <w:tcPr>
            <w:tcW w:w="6222" w:type="dxa"/>
            <w:tcBorders>
              <w:top w:val="single" w:color="auto" w:sz="4" w:space="0"/>
              <w:bottom w:val="single" w:color="auto" w:sz="4" w:space="0"/>
            </w:tcBorders>
            <w:noWrap w:val="0"/>
            <w:vAlign w:val="top"/>
          </w:tcPr>
          <w:p w14:paraId="7CB020A8">
            <w:pPr>
              <w:pStyle w:val="2"/>
              <w:keepNext w:val="0"/>
              <w:keepLines/>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kern w:val="2"/>
                <w:sz w:val="24"/>
                <w:szCs w:val="24"/>
                <w:highlight w:val="none"/>
                <w:lang w:val="en-US" w:eastAsia="zh-CN" w:bidi="ar-SA"/>
              </w:rPr>
              <w:t>近一年源自申报企业的工资薪金30（含）-70万元得15分，70（含）-100万元得20分；100（含）-150万元得30分；150（含）万元及以上得40分</w:t>
            </w:r>
          </w:p>
        </w:tc>
        <w:tc>
          <w:tcPr>
            <w:tcW w:w="1119" w:type="dxa"/>
            <w:tcBorders>
              <w:top w:val="single" w:color="auto" w:sz="4" w:space="0"/>
              <w:bottom w:val="single" w:color="auto" w:sz="4" w:space="0"/>
            </w:tcBorders>
            <w:noWrap w:val="0"/>
            <w:vAlign w:val="center"/>
          </w:tcPr>
          <w:p w14:paraId="0DB5DE82">
            <w:pPr>
              <w:pStyle w:val="2"/>
              <w:keepNext w:val="0"/>
              <w:keepLines/>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最高40</w:t>
            </w:r>
          </w:p>
        </w:tc>
      </w:tr>
      <w:tr w14:paraId="2DC2D8A4">
        <w:tc>
          <w:tcPr>
            <w:tcW w:w="1181" w:type="dxa"/>
            <w:vMerge w:val="continue"/>
            <w:noWrap w:val="0"/>
            <w:vAlign w:val="center"/>
          </w:tcPr>
          <w:p w14:paraId="51DC084D">
            <w:pPr>
              <w:pStyle w:val="2"/>
              <w:keepNext w:val="0"/>
              <w:keepLines/>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color w:val="auto"/>
                <w:sz w:val="24"/>
                <w:szCs w:val="24"/>
                <w:highlight w:val="none"/>
                <w:vertAlign w:val="baseline"/>
                <w:lang w:val="en-US" w:eastAsia="zh-CN"/>
              </w:rPr>
            </w:pPr>
          </w:p>
        </w:tc>
        <w:tc>
          <w:tcPr>
            <w:tcW w:w="6222" w:type="dxa"/>
            <w:tcBorders>
              <w:top w:val="single" w:color="auto" w:sz="4" w:space="0"/>
              <w:left w:val="single" w:color="auto" w:sz="4" w:space="0"/>
              <w:bottom w:val="single" w:color="auto" w:sz="4" w:space="0"/>
              <w:right w:val="single" w:color="auto" w:sz="4" w:space="0"/>
            </w:tcBorders>
            <w:noWrap w:val="0"/>
            <w:vAlign w:val="top"/>
          </w:tcPr>
          <w:p w14:paraId="483226D0">
            <w:pPr>
              <w:pStyle w:val="2"/>
              <w:keepNext w:val="0"/>
              <w:keepLines/>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近2年内在申报企业，主导项目</w:t>
            </w:r>
            <w:r>
              <w:rPr>
                <w:rFonts w:hint="default" w:ascii="仿宋_GB2312" w:hAnsi="仿宋_GB2312" w:cs="仿宋_GB2312"/>
                <w:color w:val="auto"/>
                <w:sz w:val="24"/>
                <w:szCs w:val="24"/>
                <w:highlight w:val="none"/>
                <w:lang w:val="en-US" w:eastAsia="zh-CN"/>
              </w:rPr>
              <w:t>获得</w:t>
            </w:r>
            <w:r>
              <w:rPr>
                <w:rFonts w:hint="eastAsia" w:ascii="仿宋_GB2312" w:hAnsi="仿宋_GB2312" w:cs="仿宋_GB2312"/>
                <w:color w:val="auto"/>
                <w:sz w:val="24"/>
                <w:szCs w:val="24"/>
                <w:highlight w:val="none"/>
                <w:lang w:val="en-US" w:eastAsia="zh-CN"/>
              </w:rPr>
              <w:t>创新创业大</w:t>
            </w:r>
            <w:r>
              <w:rPr>
                <w:rFonts w:hint="default" w:ascii="仿宋_GB2312" w:hAnsi="仿宋_GB2312" w:cs="仿宋_GB2312"/>
                <w:color w:val="auto"/>
                <w:sz w:val="24"/>
                <w:szCs w:val="24"/>
                <w:highlight w:val="none"/>
                <w:lang w:val="en-US" w:eastAsia="zh-CN"/>
              </w:rPr>
              <w:t>赛奖励的，按照国家级、省市级、区级分别加</w:t>
            </w:r>
            <w:r>
              <w:rPr>
                <w:rFonts w:hint="eastAsia" w:ascii="仿宋_GB2312" w:hAnsi="仿宋_GB2312" w:cs="仿宋_GB2312"/>
                <w:color w:val="auto"/>
                <w:sz w:val="24"/>
                <w:szCs w:val="24"/>
                <w:highlight w:val="none"/>
                <w:lang w:val="en-US" w:eastAsia="zh-CN"/>
              </w:rPr>
              <w:t>20</w:t>
            </w:r>
            <w:r>
              <w:rPr>
                <w:rFonts w:hint="default" w:ascii="仿宋_GB2312" w:hAnsi="仿宋_GB2312" w:cs="仿宋_GB2312"/>
                <w:color w:val="auto"/>
                <w:sz w:val="24"/>
                <w:szCs w:val="24"/>
                <w:highlight w:val="none"/>
                <w:lang w:val="en-US" w:eastAsia="zh-CN"/>
              </w:rPr>
              <w:t>分、</w:t>
            </w:r>
            <w:r>
              <w:rPr>
                <w:rFonts w:hint="eastAsia" w:ascii="仿宋_GB2312" w:hAnsi="仿宋_GB2312" w:cs="仿宋_GB2312"/>
                <w:color w:val="auto"/>
                <w:sz w:val="24"/>
                <w:szCs w:val="24"/>
                <w:highlight w:val="none"/>
                <w:lang w:val="en-US" w:eastAsia="zh-CN"/>
              </w:rPr>
              <w:t>15</w:t>
            </w:r>
            <w:r>
              <w:rPr>
                <w:rFonts w:hint="default" w:ascii="仿宋_GB2312" w:hAnsi="仿宋_GB2312" w:cs="仿宋_GB2312"/>
                <w:color w:val="auto"/>
                <w:sz w:val="24"/>
                <w:szCs w:val="24"/>
                <w:highlight w:val="none"/>
                <w:lang w:val="en-US" w:eastAsia="zh-CN"/>
              </w:rPr>
              <w:t>分、</w:t>
            </w:r>
            <w:r>
              <w:rPr>
                <w:rFonts w:hint="eastAsia" w:ascii="仿宋_GB2312" w:hAnsi="仿宋_GB2312" w:cs="仿宋_GB2312"/>
                <w:color w:val="auto"/>
                <w:sz w:val="24"/>
                <w:szCs w:val="24"/>
                <w:highlight w:val="none"/>
                <w:lang w:val="en-US" w:eastAsia="zh-CN"/>
              </w:rPr>
              <w:t>10</w:t>
            </w:r>
            <w:r>
              <w:rPr>
                <w:rFonts w:hint="default" w:ascii="仿宋_GB2312" w:hAnsi="仿宋_GB2312" w:cs="仿宋_GB2312"/>
                <w:color w:val="auto"/>
                <w:sz w:val="24"/>
                <w:szCs w:val="24"/>
                <w:highlight w:val="none"/>
                <w:lang w:val="en-US" w:eastAsia="zh-CN"/>
              </w:rPr>
              <w:t>分</w:t>
            </w:r>
            <w:r>
              <w:rPr>
                <w:rFonts w:hint="eastAsia" w:ascii="仿宋_GB2312" w:hAnsi="仿宋_GB2312" w:cs="仿宋_GB2312"/>
                <w:color w:val="auto"/>
                <w:sz w:val="24"/>
                <w:szCs w:val="24"/>
                <w:highlight w:val="none"/>
                <w:lang w:val="en-US" w:eastAsia="zh-CN"/>
              </w:rPr>
              <w:t>；主导项目</w:t>
            </w:r>
            <w:r>
              <w:rPr>
                <w:rFonts w:hint="default" w:ascii="仿宋_GB2312" w:hAnsi="仿宋_GB2312" w:cs="仿宋_GB2312"/>
                <w:color w:val="auto"/>
                <w:sz w:val="24"/>
                <w:highlight w:val="none"/>
              </w:rPr>
              <w:t>入选国家新闻出版署网络游戏精品出版工程或广东原创网络游戏精品项目</w:t>
            </w:r>
            <w:r>
              <w:rPr>
                <w:rFonts w:hint="eastAsia" w:ascii="仿宋_GB2312" w:hAnsi="仿宋_GB2312" w:cs="仿宋_GB2312"/>
                <w:color w:val="auto"/>
                <w:sz w:val="24"/>
                <w:highlight w:val="none"/>
                <w:lang w:val="en-US" w:eastAsia="zh-CN"/>
              </w:rPr>
              <w:t>加15分</w:t>
            </w:r>
            <w:r>
              <w:rPr>
                <w:rFonts w:hint="default" w:ascii="仿宋_GB2312" w:hAnsi="仿宋_GB2312" w:cs="仿宋_GB2312"/>
                <w:color w:val="auto"/>
                <w:sz w:val="24"/>
                <w:highlight w:val="none"/>
              </w:rPr>
              <w:t>；</w:t>
            </w:r>
            <w:r>
              <w:rPr>
                <w:rFonts w:hint="eastAsia" w:ascii="仿宋_GB2312" w:hAnsi="仿宋_GB2312" w:cs="仿宋_GB2312"/>
                <w:color w:val="auto"/>
                <w:sz w:val="24"/>
                <w:szCs w:val="24"/>
                <w:highlight w:val="none"/>
                <w:lang w:val="en-US" w:eastAsia="zh-CN"/>
              </w:rPr>
              <w:t>主导项目</w:t>
            </w:r>
            <w:r>
              <w:rPr>
                <w:rFonts w:hint="default" w:ascii="仿宋_GB2312" w:hAnsi="仿宋_GB2312" w:cs="仿宋_GB2312"/>
                <w:color w:val="auto"/>
                <w:sz w:val="24"/>
                <w:highlight w:val="none"/>
              </w:rPr>
              <w:t>入选中国音数协游戏十强年度榜</w:t>
            </w:r>
            <w:r>
              <w:rPr>
                <w:rFonts w:hint="eastAsia" w:ascii="仿宋_GB2312" w:hAnsi="仿宋_GB2312" w:cs="仿宋_GB2312"/>
                <w:color w:val="auto"/>
                <w:sz w:val="24"/>
                <w:highlight w:val="none"/>
                <w:lang w:val="en-US" w:eastAsia="zh-CN"/>
              </w:rPr>
              <w:t>加20分，入选提名加15分</w:t>
            </w:r>
            <w:r>
              <w:rPr>
                <w:rFonts w:hint="default" w:ascii="仿宋_GB2312" w:hAnsi="仿宋_GB2312" w:cs="仿宋_GB2312"/>
                <w:color w:val="auto"/>
                <w:sz w:val="24"/>
                <w:highlight w:val="none"/>
              </w:rPr>
              <w:t>；获得TGA（The Game Awards）、金摇杆奖等国际权威奖项</w:t>
            </w:r>
            <w:r>
              <w:rPr>
                <w:rFonts w:hint="eastAsia" w:ascii="仿宋_GB2312" w:hAnsi="仿宋_GB2312" w:cs="仿宋_GB2312"/>
                <w:color w:val="auto"/>
                <w:sz w:val="24"/>
                <w:highlight w:val="none"/>
                <w:lang w:val="en-US" w:eastAsia="zh-CN"/>
              </w:rPr>
              <w:t>加25分，入选提名加15分。</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6F0960BE">
            <w:pPr>
              <w:pStyle w:val="2"/>
              <w:keepNext w:val="0"/>
              <w:keepLines/>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仿宋_GB2312" w:hAnsi="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最高40</w:t>
            </w:r>
          </w:p>
        </w:tc>
      </w:tr>
      <w:tr w14:paraId="7AF036C3">
        <w:tc>
          <w:tcPr>
            <w:tcW w:w="1181" w:type="dxa"/>
            <w:vMerge w:val="continue"/>
            <w:noWrap w:val="0"/>
            <w:vAlign w:val="center"/>
          </w:tcPr>
          <w:p w14:paraId="00F7CCD8">
            <w:pPr>
              <w:pStyle w:val="2"/>
              <w:keepNext w:val="0"/>
              <w:keepLines/>
              <w:pageBreakBefore w:val="0"/>
              <w:widowControl w:val="0"/>
              <w:kinsoku/>
              <w:wordWrap/>
              <w:overflowPunct/>
              <w:topLinePunct w:val="0"/>
              <w:autoSpaceDE/>
              <w:autoSpaceDN/>
              <w:bidi w:val="0"/>
              <w:adjustRightInd/>
              <w:snapToGrid/>
              <w:spacing w:after="0" w:line="560" w:lineRule="exact"/>
              <w:jc w:val="center"/>
              <w:textAlignment w:val="auto"/>
              <w:rPr>
                <w:rFonts w:hint="eastAsia" w:ascii="黑体" w:hAnsi="黑体" w:eastAsia="黑体" w:cs="黑体"/>
                <w:color w:val="auto"/>
                <w:sz w:val="24"/>
                <w:szCs w:val="24"/>
                <w:highlight w:val="none"/>
                <w:vertAlign w:val="baseline"/>
                <w:lang w:val="en-US" w:eastAsia="zh-CN"/>
              </w:rPr>
            </w:pPr>
          </w:p>
        </w:tc>
        <w:tc>
          <w:tcPr>
            <w:tcW w:w="6222" w:type="dxa"/>
            <w:tcBorders>
              <w:top w:val="single" w:color="auto" w:sz="4" w:space="0"/>
              <w:left w:val="single" w:color="auto" w:sz="4" w:space="0"/>
              <w:bottom w:val="single" w:color="auto" w:sz="4" w:space="0"/>
              <w:right w:val="single" w:color="auto" w:sz="4" w:space="0"/>
            </w:tcBorders>
            <w:noWrap w:val="0"/>
            <w:vAlign w:val="top"/>
          </w:tcPr>
          <w:p w14:paraId="1F8815E3">
            <w:pPr>
              <w:pStyle w:val="2"/>
              <w:keepNext w:val="0"/>
              <w:keepLines/>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在申报企业负责的游戏产品每有一款游戏年度营收贡献≥5000万元加5分；</w:t>
            </w:r>
          </w:p>
          <w:p w14:paraId="298C32C8">
            <w:pPr>
              <w:pStyle w:val="2"/>
              <w:keepNext w:val="0"/>
              <w:keepLines/>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注：该项仅游戏分发平台申报企业计算</w:t>
            </w:r>
            <w:r>
              <w:rPr>
                <w:rFonts w:hint="eastAsia" w:ascii="仿宋_GB2312" w:hAnsi="仿宋_GB2312" w:cs="仿宋_GB2312"/>
                <w:color w:val="auto"/>
                <w:sz w:val="24"/>
                <w:szCs w:val="24"/>
                <w:highlight w:val="none"/>
                <w:lang w:val="en-US" w:eastAsia="zh-CN"/>
              </w:rPr>
              <w:tab/>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EFC7C26">
            <w:pPr>
              <w:pStyle w:val="2"/>
              <w:keepNext w:val="0"/>
              <w:keepLines/>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lang w:val="en-US" w:eastAsia="zh-CN"/>
              </w:rPr>
              <w:t>最高25</w:t>
            </w:r>
          </w:p>
        </w:tc>
      </w:tr>
      <w:tr w14:paraId="4455DA4A">
        <w:tc>
          <w:tcPr>
            <w:tcW w:w="1181" w:type="dxa"/>
            <w:vMerge w:val="restart"/>
            <w:tcBorders>
              <w:top w:val="single" w:color="auto" w:sz="4" w:space="0"/>
            </w:tcBorders>
            <w:noWrap w:val="0"/>
            <w:vAlign w:val="center"/>
          </w:tcPr>
          <w:p w14:paraId="58C6EC2C">
            <w:pPr>
              <w:pStyle w:val="2"/>
              <w:keepNext w:val="0"/>
              <w:keepLines/>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default"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经验维度</w:t>
            </w:r>
          </w:p>
        </w:tc>
        <w:tc>
          <w:tcPr>
            <w:tcW w:w="6222" w:type="dxa"/>
            <w:tcBorders>
              <w:top w:val="single" w:color="auto" w:sz="4" w:space="0"/>
              <w:bottom w:val="single" w:color="auto" w:sz="4" w:space="0"/>
            </w:tcBorders>
            <w:noWrap w:val="0"/>
            <w:vAlign w:val="top"/>
          </w:tcPr>
          <w:p w14:paraId="79C0C56C">
            <w:pPr>
              <w:pStyle w:val="2"/>
              <w:keepNext w:val="0"/>
              <w:keepLines/>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在游戏企业（包括现申报单位及曾任职单位）</w:t>
            </w:r>
            <w:r>
              <w:rPr>
                <w:rFonts w:hint="default" w:ascii="仿宋_GB2312" w:hAnsi="仿宋_GB2312" w:eastAsia="仿宋_GB2312" w:cs="仿宋_GB2312"/>
                <w:color w:val="auto"/>
                <w:sz w:val="24"/>
                <w:szCs w:val="24"/>
                <w:highlight w:val="none"/>
                <w:vertAlign w:val="baseline"/>
                <w:lang w:val="en-US" w:eastAsia="zh-CN"/>
              </w:rPr>
              <w:t>每满1年得1分；拥有本领域创业经历（法定代表人或股权占比30%及以上）加</w:t>
            </w:r>
            <w:r>
              <w:rPr>
                <w:rFonts w:hint="eastAsia" w:ascii="仿宋_GB2312" w:hAnsi="仿宋_GB2312" w:cs="仿宋_GB2312"/>
                <w:color w:val="auto"/>
                <w:sz w:val="24"/>
                <w:szCs w:val="24"/>
                <w:highlight w:val="none"/>
                <w:vertAlign w:val="baseline"/>
                <w:lang w:val="en-US" w:eastAsia="zh-CN"/>
              </w:rPr>
              <w:t>5</w:t>
            </w:r>
            <w:r>
              <w:rPr>
                <w:rFonts w:hint="default" w:ascii="仿宋_GB2312" w:hAnsi="仿宋_GB2312" w:eastAsia="仿宋_GB2312" w:cs="仿宋_GB2312"/>
                <w:color w:val="auto"/>
                <w:sz w:val="24"/>
                <w:szCs w:val="24"/>
                <w:highlight w:val="none"/>
                <w:vertAlign w:val="baseline"/>
                <w:lang w:val="en-US" w:eastAsia="zh-CN"/>
              </w:rPr>
              <w:t>分。</w:t>
            </w:r>
          </w:p>
        </w:tc>
        <w:tc>
          <w:tcPr>
            <w:tcW w:w="1119" w:type="dxa"/>
            <w:tcBorders>
              <w:top w:val="single" w:color="auto" w:sz="4" w:space="0"/>
              <w:bottom w:val="single" w:color="auto" w:sz="4" w:space="0"/>
            </w:tcBorders>
            <w:noWrap w:val="0"/>
            <w:vAlign w:val="center"/>
          </w:tcPr>
          <w:p w14:paraId="66E63AE7">
            <w:pPr>
              <w:pStyle w:val="2"/>
              <w:keepNext w:val="0"/>
              <w:keepLines/>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最高</w:t>
            </w:r>
            <w:r>
              <w:rPr>
                <w:rFonts w:hint="eastAsia" w:ascii="仿宋_GB2312" w:hAnsi="仿宋_GB2312" w:cs="仿宋_GB2312"/>
                <w:color w:val="auto"/>
                <w:sz w:val="24"/>
                <w:szCs w:val="24"/>
                <w:highlight w:val="none"/>
                <w:vertAlign w:val="baseline"/>
                <w:lang w:val="en-US" w:eastAsia="zh-CN"/>
              </w:rPr>
              <w:t>20</w:t>
            </w:r>
          </w:p>
        </w:tc>
      </w:tr>
      <w:tr w14:paraId="71BF8023">
        <w:tc>
          <w:tcPr>
            <w:tcW w:w="1181" w:type="dxa"/>
            <w:vMerge w:val="continue"/>
            <w:noWrap w:val="0"/>
            <w:vAlign w:val="center"/>
          </w:tcPr>
          <w:p w14:paraId="0D3E162D">
            <w:pPr>
              <w:pStyle w:val="2"/>
              <w:keepNext w:val="0"/>
              <w:keepLines/>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黑体" w:hAnsi="黑体" w:eastAsia="黑体" w:cs="黑体"/>
                <w:color w:val="auto"/>
                <w:sz w:val="24"/>
                <w:szCs w:val="24"/>
                <w:highlight w:val="none"/>
                <w:vertAlign w:val="baseline"/>
                <w:lang w:val="en-US" w:eastAsia="zh-CN"/>
              </w:rPr>
            </w:pPr>
          </w:p>
        </w:tc>
        <w:tc>
          <w:tcPr>
            <w:tcW w:w="6222" w:type="dxa"/>
            <w:tcBorders>
              <w:top w:val="single" w:color="auto" w:sz="4" w:space="0"/>
              <w:bottom w:val="single" w:color="auto" w:sz="4" w:space="0"/>
            </w:tcBorders>
            <w:noWrap w:val="0"/>
            <w:vAlign w:val="top"/>
          </w:tcPr>
          <w:p w14:paraId="6CBC353F">
            <w:pPr>
              <w:pStyle w:val="2"/>
              <w:keepNext w:val="0"/>
              <w:keepLines/>
              <w:pageBreakBefore w:val="0"/>
              <w:widowControl w:val="0"/>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在上款累计得分基础上，在知名游戏企业的工作经历，每满1年可额外得1分。</w:t>
            </w:r>
          </w:p>
        </w:tc>
        <w:tc>
          <w:tcPr>
            <w:tcW w:w="1119" w:type="dxa"/>
            <w:tcBorders>
              <w:top w:val="single" w:color="auto" w:sz="4" w:space="0"/>
              <w:bottom w:val="single" w:color="auto" w:sz="4" w:space="0"/>
            </w:tcBorders>
            <w:noWrap w:val="0"/>
            <w:vAlign w:val="center"/>
          </w:tcPr>
          <w:p w14:paraId="36ADE4ED">
            <w:pPr>
              <w:pStyle w:val="2"/>
              <w:keepNext w:val="0"/>
              <w:keepLines/>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最高</w:t>
            </w:r>
            <w:r>
              <w:rPr>
                <w:rFonts w:hint="eastAsia" w:ascii="仿宋_GB2312" w:hAnsi="仿宋_GB2312" w:cs="仿宋_GB2312"/>
                <w:color w:val="auto"/>
                <w:sz w:val="24"/>
                <w:szCs w:val="24"/>
                <w:highlight w:val="none"/>
                <w:vertAlign w:val="baseline"/>
                <w:lang w:val="en-US" w:eastAsia="zh-CN"/>
              </w:rPr>
              <w:t>10</w:t>
            </w:r>
          </w:p>
        </w:tc>
      </w:tr>
    </w:tbl>
    <w:p w14:paraId="2EBD0A1F">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center"/>
        <w:textAlignment w:val="auto"/>
        <w:rPr>
          <w:rFonts w:hint="eastAsia" w:ascii="黑体" w:hAnsi="黑体" w:eastAsia="黑体" w:cs="黑体"/>
          <w:color w:val="auto"/>
          <w:sz w:val="24"/>
          <w:szCs w:val="24"/>
          <w:highlight w:val="none"/>
          <w:lang w:val="en-US" w:eastAsia="zh-CN"/>
        </w:rPr>
      </w:pPr>
    </w:p>
    <w:p w14:paraId="05864A1B">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表2 人才积分资助定档表</w:t>
      </w:r>
    </w:p>
    <w:tbl>
      <w:tblPr>
        <w:tblStyle w:val="6"/>
        <w:tblpPr w:leftFromText="180" w:rightFromText="180" w:vertAnchor="text" w:horzAnchor="page" w:tblpX="1605" w:tblpY="5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3220"/>
        <w:gridCol w:w="2886"/>
      </w:tblGrid>
      <w:tr w14:paraId="1B142288">
        <w:trPr>
          <w:trHeight w:val="399" w:hRule="atLeast"/>
        </w:trPr>
        <w:tc>
          <w:tcPr>
            <w:tcW w:w="2332" w:type="dxa"/>
            <w:noWrap w:val="0"/>
            <w:vAlign w:val="center"/>
          </w:tcPr>
          <w:p w14:paraId="3FA096BA">
            <w:pPr>
              <w:pStyle w:val="2"/>
              <w:keepNext w:val="0"/>
              <w:keepLines/>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分档级别</w:t>
            </w:r>
          </w:p>
        </w:tc>
        <w:tc>
          <w:tcPr>
            <w:tcW w:w="3220" w:type="dxa"/>
            <w:noWrap w:val="0"/>
            <w:vAlign w:val="center"/>
          </w:tcPr>
          <w:p w14:paraId="4273C489">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人才积分</w:t>
            </w:r>
          </w:p>
        </w:tc>
        <w:tc>
          <w:tcPr>
            <w:tcW w:w="2886" w:type="dxa"/>
            <w:noWrap w:val="0"/>
            <w:vAlign w:val="center"/>
          </w:tcPr>
          <w:p w14:paraId="240586FB">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拟奖励标准（万元）</w:t>
            </w:r>
          </w:p>
        </w:tc>
      </w:tr>
      <w:tr w14:paraId="3A9760C1">
        <w:trPr>
          <w:trHeight w:val="399" w:hRule="atLeast"/>
        </w:trPr>
        <w:tc>
          <w:tcPr>
            <w:tcW w:w="2332" w:type="dxa"/>
            <w:noWrap w:val="0"/>
            <w:vAlign w:val="top"/>
          </w:tcPr>
          <w:p w14:paraId="54F18AA1">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黑体" w:hAnsi="黑体" w:eastAsia="黑体" w:cs="黑体"/>
                <w:color w:val="auto"/>
                <w:sz w:val="24"/>
                <w:szCs w:val="24"/>
                <w:highlight w:val="none"/>
                <w:vertAlign w:val="baseline"/>
                <w:lang w:val="en-US" w:eastAsia="zh-CN"/>
              </w:rPr>
            </w:pPr>
            <w:r>
              <w:rPr>
                <w:rFonts w:hint="eastAsia" w:ascii="黑体" w:hAnsi="黑体" w:eastAsia="黑体" w:cs="黑体"/>
                <w:color w:val="auto"/>
                <w:sz w:val="24"/>
                <w:szCs w:val="24"/>
                <w:highlight w:val="none"/>
                <w:vertAlign w:val="baseline"/>
                <w:lang w:val="en-US" w:eastAsia="zh-CN"/>
              </w:rPr>
              <w:t>五档</w:t>
            </w:r>
          </w:p>
        </w:tc>
        <w:tc>
          <w:tcPr>
            <w:tcW w:w="3220" w:type="dxa"/>
            <w:noWrap w:val="0"/>
            <w:vAlign w:val="top"/>
          </w:tcPr>
          <w:p w14:paraId="7FE6353C">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100</w:t>
            </w:r>
            <w:r>
              <w:rPr>
                <w:rFonts w:hint="eastAsia" w:ascii="仿宋_GB2312" w:hAnsi="仿宋_GB2312" w:eastAsia="仿宋_GB2312" w:cs="仿宋_GB2312"/>
                <w:color w:val="auto"/>
                <w:sz w:val="24"/>
                <w:szCs w:val="24"/>
                <w:highlight w:val="none"/>
                <w:vertAlign w:val="baseline"/>
                <w:lang w:val="en-US" w:eastAsia="zh-CN"/>
              </w:rPr>
              <w:t>（含）分以上</w:t>
            </w:r>
          </w:p>
        </w:tc>
        <w:tc>
          <w:tcPr>
            <w:tcW w:w="2886" w:type="dxa"/>
            <w:noWrap w:val="0"/>
            <w:vAlign w:val="top"/>
          </w:tcPr>
          <w:p w14:paraId="4DCFEDC1">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60</w:t>
            </w:r>
          </w:p>
        </w:tc>
      </w:tr>
      <w:tr w14:paraId="54262EAE">
        <w:trPr>
          <w:trHeight w:val="399" w:hRule="atLeast"/>
        </w:trPr>
        <w:tc>
          <w:tcPr>
            <w:tcW w:w="2332" w:type="dxa"/>
            <w:noWrap w:val="0"/>
            <w:vAlign w:val="top"/>
          </w:tcPr>
          <w:p w14:paraId="48FC1337">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黑体" w:hAnsi="黑体" w:eastAsia="黑体" w:cs="黑体"/>
                <w:color w:val="auto"/>
                <w:kern w:val="2"/>
                <w:sz w:val="24"/>
                <w:szCs w:val="24"/>
                <w:highlight w:val="none"/>
                <w:vertAlign w:val="baseline"/>
                <w:lang w:val="en-US" w:eastAsia="zh-CN" w:bidi="ar-SA"/>
              </w:rPr>
            </w:pPr>
            <w:r>
              <w:rPr>
                <w:rFonts w:hint="eastAsia" w:ascii="黑体" w:hAnsi="黑体" w:eastAsia="黑体" w:cs="黑体"/>
                <w:color w:val="auto"/>
                <w:sz w:val="24"/>
                <w:szCs w:val="24"/>
                <w:highlight w:val="none"/>
                <w:vertAlign w:val="baseline"/>
                <w:lang w:val="en-US" w:eastAsia="zh-CN"/>
              </w:rPr>
              <w:t>四档</w:t>
            </w:r>
          </w:p>
        </w:tc>
        <w:tc>
          <w:tcPr>
            <w:tcW w:w="3220" w:type="dxa"/>
            <w:noWrap w:val="0"/>
            <w:vAlign w:val="top"/>
          </w:tcPr>
          <w:p w14:paraId="568C8E07">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80</w:t>
            </w:r>
            <w:r>
              <w:rPr>
                <w:rFonts w:hint="eastAsia" w:ascii="仿宋_GB2312" w:hAnsi="仿宋_GB2312" w:eastAsia="仿宋_GB2312" w:cs="仿宋_GB2312"/>
                <w:color w:val="auto"/>
                <w:sz w:val="24"/>
                <w:szCs w:val="24"/>
                <w:highlight w:val="none"/>
                <w:vertAlign w:val="baseline"/>
                <w:lang w:val="en-US" w:eastAsia="zh-CN"/>
              </w:rPr>
              <w:t>（含）-</w:t>
            </w:r>
            <w:r>
              <w:rPr>
                <w:rFonts w:hint="eastAsia" w:ascii="仿宋_GB2312" w:hAnsi="仿宋_GB2312" w:cs="仿宋_GB2312"/>
                <w:color w:val="auto"/>
                <w:sz w:val="24"/>
                <w:szCs w:val="24"/>
                <w:highlight w:val="none"/>
                <w:vertAlign w:val="baseline"/>
                <w:lang w:val="en-US" w:eastAsia="zh-CN"/>
              </w:rPr>
              <w:t>100</w:t>
            </w:r>
            <w:r>
              <w:rPr>
                <w:rFonts w:hint="eastAsia" w:ascii="仿宋_GB2312" w:hAnsi="仿宋_GB2312" w:eastAsia="仿宋_GB2312" w:cs="仿宋_GB2312"/>
                <w:color w:val="auto"/>
                <w:sz w:val="24"/>
                <w:szCs w:val="24"/>
                <w:highlight w:val="none"/>
                <w:vertAlign w:val="baseline"/>
                <w:lang w:val="en-US" w:eastAsia="zh-CN"/>
              </w:rPr>
              <w:t>分</w:t>
            </w:r>
          </w:p>
        </w:tc>
        <w:tc>
          <w:tcPr>
            <w:tcW w:w="2886" w:type="dxa"/>
            <w:noWrap w:val="0"/>
            <w:vAlign w:val="top"/>
          </w:tcPr>
          <w:p w14:paraId="6BEAD14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40</w:t>
            </w:r>
          </w:p>
        </w:tc>
      </w:tr>
      <w:tr w14:paraId="15902077">
        <w:trPr>
          <w:trHeight w:val="399" w:hRule="atLeast"/>
        </w:trPr>
        <w:tc>
          <w:tcPr>
            <w:tcW w:w="2332" w:type="dxa"/>
            <w:noWrap w:val="0"/>
            <w:vAlign w:val="top"/>
          </w:tcPr>
          <w:p w14:paraId="3549CBE8">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黑体" w:hAnsi="黑体" w:eastAsia="黑体" w:cs="黑体"/>
                <w:color w:val="auto"/>
                <w:kern w:val="2"/>
                <w:sz w:val="24"/>
                <w:szCs w:val="24"/>
                <w:highlight w:val="none"/>
                <w:vertAlign w:val="baseline"/>
                <w:lang w:val="en-US" w:eastAsia="zh-CN" w:bidi="ar-SA"/>
              </w:rPr>
            </w:pPr>
            <w:r>
              <w:rPr>
                <w:rFonts w:hint="eastAsia" w:ascii="黑体" w:hAnsi="黑体" w:eastAsia="黑体" w:cs="黑体"/>
                <w:color w:val="auto"/>
                <w:sz w:val="24"/>
                <w:szCs w:val="24"/>
                <w:highlight w:val="none"/>
                <w:vertAlign w:val="baseline"/>
                <w:lang w:val="en-US" w:eastAsia="zh-CN"/>
              </w:rPr>
              <w:t>三档</w:t>
            </w:r>
          </w:p>
        </w:tc>
        <w:tc>
          <w:tcPr>
            <w:tcW w:w="3220" w:type="dxa"/>
            <w:noWrap w:val="0"/>
            <w:vAlign w:val="top"/>
          </w:tcPr>
          <w:p w14:paraId="12455A21">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60</w:t>
            </w:r>
            <w:r>
              <w:rPr>
                <w:rFonts w:hint="eastAsia" w:ascii="仿宋_GB2312" w:hAnsi="仿宋_GB2312" w:eastAsia="仿宋_GB2312" w:cs="仿宋_GB2312"/>
                <w:color w:val="auto"/>
                <w:sz w:val="24"/>
                <w:szCs w:val="24"/>
                <w:highlight w:val="none"/>
                <w:vertAlign w:val="baseline"/>
                <w:lang w:val="en-US" w:eastAsia="zh-CN"/>
              </w:rPr>
              <w:t>（含）-</w:t>
            </w:r>
            <w:r>
              <w:rPr>
                <w:rFonts w:hint="eastAsia" w:ascii="仿宋_GB2312" w:hAnsi="仿宋_GB2312" w:cs="仿宋_GB2312"/>
                <w:color w:val="auto"/>
                <w:sz w:val="24"/>
                <w:szCs w:val="24"/>
                <w:highlight w:val="none"/>
                <w:vertAlign w:val="baseline"/>
                <w:lang w:val="en-US" w:eastAsia="zh-CN"/>
              </w:rPr>
              <w:t>80</w:t>
            </w:r>
            <w:r>
              <w:rPr>
                <w:rFonts w:hint="eastAsia" w:ascii="仿宋_GB2312" w:hAnsi="仿宋_GB2312" w:eastAsia="仿宋_GB2312" w:cs="仿宋_GB2312"/>
                <w:color w:val="auto"/>
                <w:sz w:val="24"/>
                <w:szCs w:val="24"/>
                <w:highlight w:val="none"/>
                <w:vertAlign w:val="baseline"/>
                <w:lang w:val="en-US" w:eastAsia="zh-CN"/>
              </w:rPr>
              <w:t>分</w:t>
            </w:r>
          </w:p>
        </w:tc>
        <w:tc>
          <w:tcPr>
            <w:tcW w:w="2886" w:type="dxa"/>
            <w:noWrap w:val="0"/>
            <w:vAlign w:val="top"/>
          </w:tcPr>
          <w:p w14:paraId="1E373D0F">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w:t>
            </w:r>
          </w:p>
        </w:tc>
      </w:tr>
      <w:tr w14:paraId="667C13DC">
        <w:trPr>
          <w:trHeight w:val="399" w:hRule="atLeast"/>
        </w:trPr>
        <w:tc>
          <w:tcPr>
            <w:tcW w:w="2332" w:type="dxa"/>
            <w:noWrap w:val="0"/>
            <w:vAlign w:val="top"/>
          </w:tcPr>
          <w:p w14:paraId="0FB995AC">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黑体" w:hAnsi="黑体" w:eastAsia="黑体" w:cs="黑体"/>
                <w:color w:val="auto"/>
                <w:kern w:val="2"/>
                <w:sz w:val="24"/>
                <w:szCs w:val="24"/>
                <w:highlight w:val="none"/>
                <w:vertAlign w:val="baseline"/>
                <w:lang w:val="en-US" w:eastAsia="zh-CN" w:bidi="ar-SA"/>
              </w:rPr>
            </w:pPr>
            <w:r>
              <w:rPr>
                <w:rFonts w:hint="eastAsia" w:ascii="黑体" w:hAnsi="黑体" w:eastAsia="黑体" w:cs="黑体"/>
                <w:color w:val="auto"/>
                <w:sz w:val="24"/>
                <w:szCs w:val="24"/>
                <w:highlight w:val="none"/>
                <w:vertAlign w:val="baseline"/>
                <w:lang w:val="en-US" w:eastAsia="zh-CN"/>
              </w:rPr>
              <w:t>二档</w:t>
            </w:r>
          </w:p>
        </w:tc>
        <w:tc>
          <w:tcPr>
            <w:tcW w:w="3220" w:type="dxa"/>
            <w:noWrap w:val="0"/>
            <w:vAlign w:val="top"/>
          </w:tcPr>
          <w:p w14:paraId="7FD75D49">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40</w:t>
            </w:r>
            <w:r>
              <w:rPr>
                <w:rFonts w:hint="eastAsia" w:ascii="仿宋_GB2312" w:hAnsi="仿宋_GB2312" w:eastAsia="仿宋_GB2312" w:cs="仿宋_GB2312"/>
                <w:color w:val="auto"/>
                <w:sz w:val="24"/>
                <w:szCs w:val="24"/>
                <w:highlight w:val="none"/>
                <w:vertAlign w:val="baseline"/>
                <w:lang w:val="en-US" w:eastAsia="zh-CN"/>
              </w:rPr>
              <w:t>（含）-</w:t>
            </w:r>
            <w:r>
              <w:rPr>
                <w:rFonts w:hint="eastAsia" w:ascii="仿宋_GB2312" w:hAnsi="仿宋_GB2312" w:cs="仿宋_GB2312"/>
                <w:color w:val="auto"/>
                <w:sz w:val="24"/>
                <w:szCs w:val="24"/>
                <w:highlight w:val="none"/>
                <w:vertAlign w:val="baseline"/>
                <w:lang w:val="en-US" w:eastAsia="zh-CN"/>
              </w:rPr>
              <w:t>60</w:t>
            </w:r>
            <w:r>
              <w:rPr>
                <w:rFonts w:hint="eastAsia" w:ascii="仿宋_GB2312" w:hAnsi="仿宋_GB2312" w:eastAsia="仿宋_GB2312" w:cs="仿宋_GB2312"/>
                <w:color w:val="auto"/>
                <w:sz w:val="24"/>
                <w:szCs w:val="24"/>
                <w:highlight w:val="none"/>
                <w:vertAlign w:val="baseline"/>
                <w:lang w:val="en-US" w:eastAsia="zh-CN"/>
              </w:rPr>
              <w:t>分</w:t>
            </w:r>
          </w:p>
        </w:tc>
        <w:tc>
          <w:tcPr>
            <w:tcW w:w="2886" w:type="dxa"/>
            <w:noWrap w:val="0"/>
            <w:vAlign w:val="top"/>
          </w:tcPr>
          <w:p w14:paraId="7FD862F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w:t>
            </w:r>
          </w:p>
        </w:tc>
      </w:tr>
      <w:tr w14:paraId="5DB0EDC8">
        <w:trPr>
          <w:trHeight w:val="411" w:hRule="atLeast"/>
        </w:trPr>
        <w:tc>
          <w:tcPr>
            <w:tcW w:w="2332" w:type="dxa"/>
            <w:noWrap w:val="0"/>
            <w:vAlign w:val="top"/>
          </w:tcPr>
          <w:p w14:paraId="23E13B04">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黑体" w:hAnsi="黑体" w:eastAsia="黑体" w:cs="黑体"/>
                <w:color w:val="auto"/>
                <w:kern w:val="2"/>
                <w:sz w:val="24"/>
                <w:szCs w:val="24"/>
                <w:highlight w:val="none"/>
                <w:vertAlign w:val="baseline"/>
                <w:lang w:val="en-US" w:eastAsia="zh-CN" w:bidi="ar-SA"/>
              </w:rPr>
            </w:pPr>
            <w:r>
              <w:rPr>
                <w:rFonts w:hint="eastAsia" w:ascii="黑体" w:hAnsi="黑体" w:eastAsia="黑体" w:cs="黑体"/>
                <w:color w:val="auto"/>
                <w:sz w:val="24"/>
                <w:szCs w:val="24"/>
                <w:highlight w:val="none"/>
                <w:vertAlign w:val="baseline"/>
                <w:lang w:val="en-US" w:eastAsia="zh-CN"/>
              </w:rPr>
              <w:t>一档</w:t>
            </w:r>
          </w:p>
        </w:tc>
        <w:tc>
          <w:tcPr>
            <w:tcW w:w="3220" w:type="dxa"/>
            <w:noWrap w:val="0"/>
            <w:vAlign w:val="top"/>
          </w:tcPr>
          <w:p w14:paraId="18E37883">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cs="仿宋_GB2312"/>
                <w:color w:val="auto"/>
                <w:sz w:val="24"/>
                <w:szCs w:val="24"/>
                <w:highlight w:val="none"/>
                <w:vertAlign w:val="baseline"/>
                <w:lang w:val="en-US" w:eastAsia="zh-CN"/>
              </w:rPr>
              <w:t>40</w:t>
            </w:r>
            <w:r>
              <w:rPr>
                <w:rFonts w:hint="eastAsia" w:ascii="仿宋_GB2312" w:hAnsi="仿宋_GB2312" w:eastAsia="仿宋_GB2312" w:cs="仿宋_GB2312"/>
                <w:color w:val="auto"/>
                <w:sz w:val="24"/>
                <w:szCs w:val="24"/>
                <w:highlight w:val="none"/>
                <w:vertAlign w:val="baseline"/>
                <w:lang w:val="en-US" w:eastAsia="zh-CN"/>
              </w:rPr>
              <w:t>分以下</w:t>
            </w:r>
          </w:p>
        </w:tc>
        <w:tc>
          <w:tcPr>
            <w:tcW w:w="2886" w:type="dxa"/>
            <w:noWrap w:val="0"/>
            <w:vAlign w:val="top"/>
          </w:tcPr>
          <w:p w14:paraId="668AFC16">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w:t>
            </w:r>
          </w:p>
        </w:tc>
      </w:tr>
    </w:tbl>
    <w:p w14:paraId="64D6D104">
      <w:pPr>
        <w:pStyle w:val="5"/>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黑体" w:hAnsi="黑体" w:eastAsia="黑体" w:cs="黑体"/>
          <w:b w:val="0"/>
          <w:bCs w:val="0"/>
          <w:color w:val="auto"/>
          <w:sz w:val="32"/>
          <w:szCs w:val="32"/>
          <w:highlight w:val="none"/>
          <w:lang w:val="en-US" w:eastAsia="zh-CN"/>
        </w:rPr>
      </w:pPr>
      <w:bookmarkStart w:id="7" w:name="_Toc25344205"/>
      <w:r>
        <w:rPr>
          <w:rFonts w:hint="eastAsia" w:ascii="黑体" w:hAnsi="黑体" w:eastAsia="黑体" w:cs="黑体"/>
          <w:b w:val="0"/>
          <w:bCs w:val="0"/>
          <w:color w:val="auto"/>
          <w:sz w:val="32"/>
          <w:szCs w:val="32"/>
          <w:highlight w:val="none"/>
          <w:lang w:val="en-US" w:eastAsia="zh-CN"/>
        </w:rPr>
        <w:t>五、资助方式</w:t>
      </w:r>
      <w:bookmarkEnd w:id="7"/>
    </w:p>
    <w:p w14:paraId="4B790C72">
      <w:pPr>
        <w:keepNext w:val="0"/>
        <w:keepLines w:val="0"/>
        <w:pageBreakBefore w:val="0"/>
        <w:widowControl/>
        <w:kinsoku/>
        <w:wordWrap/>
        <w:overflowPunct/>
        <w:topLinePunct w:val="0"/>
        <w:autoSpaceDE/>
        <w:autoSpaceDN/>
        <w:bidi w:val="0"/>
        <w:adjustRightInd/>
        <w:snapToGrid/>
        <w:spacing w:after="0" w:line="560" w:lineRule="exact"/>
        <w:ind w:firstLine="640" w:firstLineChars="200"/>
        <w:contextualSpacing/>
        <w:jc w:val="both"/>
        <w:textAlignment w:val="auto"/>
        <w:rPr>
          <w:rFonts w:hint="eastAsia" w:ascii="黑体" w:hAnsi="黑体" w:eastAsia="黑体" w:cs="黑体"/>
          <w:bCs/>
          <w:color w:val="auto"/>
          <w:kern w:val="2"/>
          <w:sz w:val="32"/>
          <w:szCs w:val="32"/>
          <w:highlight w:val="none"/>
          <w:lang w:eastAsia="zh-CN" w:bidi="ar-SA"/>
        </w:rPr>
      </w:pPr>
      <w:r>
        <w:rPr>
          <w:rFonts w:hint="eastAsia" w:ascii="仿宋_GB2312" w:eastAsia="仿宋_GB2312"/>
          <w:color w:val="auto"/>
          <w:sz w:val="32"/>
          <w:szCs w:val="32"/>
          <w:highlight w:val="none"/>
          <w:lang w:eastAsia="zh-CN"/>
        </w:rPr>
        <w:t>本资助计划属核准类，实行单位申报、材料审核、政府决策的原则，采取无偿资助方式，受资助项目无需验收。</w:t>
      </w:r>
    </w:p>
    <w:p w14:paraId="73A73A33">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黑体" w:hAnsi="黑体" w:eastAsia="黑体" w:cs="黑体"/>
          <w:bCs/>
          <w:color w:val="auto"/>
          <w:kern w:val="2"/>
          <w:sz w:val="32"/>
          <w:szCs w:val="32"/>
          <w:highlight w:val="none"/>
          <w:lang w:eastAsia="zh-CN" w:bidi="ar-SA"/>
        </w:rPr>
      </w:pPr>
      <w:r>
        <w:rPr>
          <w:rFonts w:hint="eastAsia" w:ascii="黑体" w:hAnsi="黑体" w:eastAsia="黑体" w:cs="黑体"/>
          <w:bCs/>
          <w:color w:val="auto"/>
          <w:kern w:val="2"/>
          <w:sz w:val="32"/>
          <w:szCs w:val="32"/>
          <w:highlight w:val="none"/>
          <w:lang w:eastAsia="zh-CN" w:bidi="ar-SA"/>
        </w:rPr>
        <w:t>六、办理流程</w:t>
      </w:r>
    </w:p>
    <w:p w14:paraId="2C074254">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Tahoma" w:eastAsia="仿宋_GB2312" w:cs="宋体"/>
          <w:color w:val="auto"/>
          <w:sz w:val="32"/>
          <w:szCs w:val="32"/>
          <w:highlight w:val="none"/>
          <w:lang w:val="en-US" w:eastAsia="zh-CN" w:bidi="ar-SA"/>
        </w:rPr>
      </w:pPr>
      <w:r>
        <w:rPr>
          <w:rFonts w:hint="eastAsia" w:ascii="仿宋_GB2312" w:hAnsi="Tahoma" w:eastAsia="仿宋_GB2312" w:cs="宋体"/>
          <w:color w:val="auto"/>
          <w:sz w:val="32"/>
          <w:szCs w:val="32"/>
          <w:highlight w:val="none"/>
          <w:lang w:val="en-US" w:eastAsia="zh-CN" w:bidi="ar-SA"/>
        </w:rPr>
        <w:t>（一）申报企业登录“Ai南山企业服务综合平台”（https://www.inanshan.org.cn），在线填写《重点产业人才支持行动-</w:t>
      </w:r>
      <w:r>
        <w:rPr>
          <w:rFonts w:hint="eastAsia" w:ascii="仿宋_GB2312" w:cs="宋体"/>
          <w:color w:val="auto"/>
          <w:sz w:val="32"/>
          <w:szCs w:val="32"/>
          <w:highlight w:val="none"/>
          <w:lang w:val="en-US" w:eastAsia="zh-CN" w:bidi="ar-SA"/>
        </w:rPr>
        <w:t>游戏</w:t>
      </w:r>
      <w:r>
        <w:rPr>
          <w:rFonts w:hint="eastAsia" w:ascii="仿宋_GB2312" w:hAnsi="Tahoma" w:eastAsia="仿宋_GB2312" w:cs="宋体"/>
          <w:color w:val="auto"/>
          <w:sz w:val="32"/>
          <w:szCs w:val="32"/>
          <w:highlight w:val="none"/>
          <w:lang w:val="en-US" w:eastAsia="zh-CN" w:bidi="ar-SA"/>
        </w:rPr>
        <w:t>产业领域骨干人才支持项目申请书》；</w:t>
      </w:r>
    </w:p>
    <w:p w14:paraId="75F5102D">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Tahoma" w:eastAsia="仿宋_GB2312" w:cs="宋体"/>
          <w:color w:val="auto"/>
          <w:sz w:val="32"/>
          <w:szCs w:val="32"/>
          <w:highlight w:val="none"/>
          <w:lang w:val="en-US" w:eastAsia="zh-CN" w:bidi="ar-SA"/>
        </w:rPr>
      </w:pPr>
      <w:r>
        <w:rPr>
          <w:rFonts w:hint="eastAsia" w:ascii="仿宋_GB2312" w:hAnsi="Tahoma" w:eastAsia="仿宋_GB2312" w:cs="宋体"/>
          <w:color w:val="auto"/>
          <w:sz w:val="32"/>
          <w:szCs w:val="32"/>
          <w:highlight w:val="none"/>
          <w:lang w:val="en-US" w:eastAsia="zh-CN" w:bidi="ar-SA"/>
        </w:rPr>
        <w:t>（二）</w:t>
      </w:r>
      <w:r>
        <w:rPr>
          <w:rFonts w:hint="eastAsia" w:ascii="仿宋_GB2312" w:cs="宋体"/>
          <w:color w:val="auto"/>
          <w:sz w:val="32"/>
          <w:szCs w:val="32"/>
          <w:highlight w:val="none"/>
          <w:lang w:val="en-US" w:eastAsia="zh-CN" w:bidi="ar-SA"/>
        </w:rPr>
        <w:t>区企业服务中心</w:t>
      </w:r>
      <w:r>
        <w:rPr>
          <w:rFonts w:hint="eastAsia" w:ascii="仿宋_GB2312" w:hAnsi="Tahoma" w:eastAsia="仿宋_GB2312" w:cs="宋体"/>
          <w:color w:val="auto"/>
          <w:sz w:val="32"/>
          <w:szCs w:val="32"/>
          <w:highlight w:val="none"/>
          <w:lang w:val="en-US" w:eastAsia="zh-CN" w:bidi="ar-SA"/>
        </w:rPr>
        <w:t>受理申请，对申报材料进行形式性审核，</w:t>
      </w:r>
      <w:r>
        <w:rPr>
          <w:rFonts w:hint="eastAsia" w:ascii="仿宋_GB2312" w:hAnsi="仿宋_GB2312" w:cs="仿宋_GB2312"/>
          <w:color w:val="auto"/>
          <w:kern w:val="2"/>
          <w:sz w:val="32"/>
          <w:szCs w:val="32"/>
          <w:highlight w:val="none"/>
          <w:shd w:val="clear" w:color="auto" w:fill="auto"/>
          <w:lang w:val="en-US" w:eastAsia="zh-CN" w:bidi="ar-SA"/>
        </w:rPr>
        <w:t>区工业和信息化局</w:t>
      </w:r>
      <w:r>
        <w:rPr>
          <w:rFonts w:hint="eastAsia" w:ascii="仿宋_GB2312" w:hAnsi="Tahoma" w:eastAsia="仿宋_GB2312" w:cs="宋体"/>
          <w:color w:val="auto"/>
          <w:sz w:val="32"/>
          <w:szCs w:val="32"/>
          <w:highlight w:val="none"/>
          <w:lang w:val="en-US" w:eastAsia="zh-CN" w:bidi="ar-SA"/>
        </w:rPr>
        <w:t>复审项目申报材料；</w:t>
      </w:r>
    </w:p>
    <w:p w14:paraId="0349DDE2">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Tahoma" w:eastAsia="仿宋_GB2312" w:cs="宋体"/>
          <w:color w:val="auto"/>
          <w:sz w:val="32"/>
          <w:szCs w:val="32"/>
          <w:highlight w:val="none"/>
          <w:lang w:val="en-US" w:eastAsia="zh-CN" w:bidi="ar-SA"/>
        </w:rPr>
      </w:pPr>
      <w:r>
        <w:rPr>
          <w:rFonts w:hint="eastAsia" w:ascii="仿宋_GB2312" w:hAnsi="Tahoma" w:eastAsia="仿宋_GB2312" w:cs="宋体"/>
          <w:color w:val="auto"/>
          <w:sz w:val="32"/>
          <w:szCs w:val="32"/>
          <w:highlight w:val="none"/>
          <w:lang w:val="en-US" w:eastAsia="zh-CN" w:bidi="ar-SA"/>
        </w:rPr>
        <w:t>（三）根据企业申报情况，由</w:t>
      </w:r>
      <w:r>
        <w:rPr>
          <w:rFonts w:hint="eastAsia" w:ascii="仿宋_GB2312" w:hAnsi="仿宋_GB2312" w:cs="仿宋_GB2312"/>
          <w:color w:val="auto"/>
          <w:kern w:val="2"/>
          <w:sz w:val="32"/>
          <w:szCs w:val="32"/>
          <w:highlight w:val="none"/>
          <w:shd w:val="clear" w:color="auto" w:fill="auto"/>
          <w:lang w:val="en-US" w:eastAsia="zh-CN" w:bidi="ar-SA"/>
        </w:rPr>
        <w:t>区工业和信息化局</w:t>
      </w:r>
      <w:r>
        <w:rPr>
          <w:rFonts w:hint="eastAsia" w:ascii="仿宋_GB2312" w:hAnsi="Tahoma" w:eastAsia="仿宋_GB2312" w:cs="宋体"/>
          <w:color w:val="auto"/>
          <w:sz w:val="32"/>
          <w:szCs w:val="32"/>
          <w:highlight w:val="none"/>
          <w:lang w:val="en-US" w:eastAsia="zh-CN" w:bidi="ar-SA"/>
        </w:rPr>
        <w:t>拟定资助企业名单及指标分配方案，报区委宣传部审定；</w:t>
      </w:r>
    </w:p>
    <w:p w14:paraId="6AAE388B">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Tahoma" w:eastAsia="仿宋_GB2312" w:cs="宋体"/>
          <w:color w:val="auto"/>
          <w:sz w:val="32"/>
          <w:szCs w:val="32"/>
          <w:highlight w:val="none"/>
          <w:lang w:val="en-US" w:eastAsia="zh-CN" w:bidi="ar-SA"/>
        </w:rPr>
      </w:pPr>
      <w:r>
        <w:rPr>
          <w:rFonts w:hint="eastAsia" w:ascii="仿宋_GB2312" w:hAnsi="Tahoma" w:eastAsia="仿宋_GB2312" w:cs="宋体"/>
          <w:color w:val="auto"/>
          <w:sz w:val="32"/>
          <w:szCs w:val="32"/>
          <w:highlight w:val="none"/>
          <w:lang w:val="en-US" w:eastAsia="zh-CN" w:bidi="ar-SA"/>
        </w:rPr>
        <w:t>（四）</w:t>
      </w:r>
      <w:r>
        <w:rPr>
          <w:rFonts w:hint="eastAsia" w:ascii="仿宋_GB2312" w:cs="宋体"/>
          <w:color w:val="auto"/>
          <w:sz w:val="32"/>
          <w:szCs w:val="32"/>
          <w:highlight w:val="none"/>
          <w:lang w:val="en-US" w:eastAsia="zh-CN" w:bidi="ar-SA"/>
        </w:rPr>
        <w:t>区企业服务中心</w:t>
      </w:r>
      <w:r>
        <w:rPr>
          <w:rFonts w:hint="eastAsia" w:ascii="仿宋_GB2312" w:hAnsi="Tahoma" w:eastAsia="仿宋_GB2312" w:cs="宋体"/>
          <w:color w:val="auto"/>
          <w:sz w:val="32"/>
          <w:szCs w:val="32"/>
          <w:highlight w:val="none"/>
          <w:lang w:val="en-US" w:eastAsia="zh-CN" w:bidi="ar-SA"/>
        </w:rPr>
        <w:t>组织对企业的在地经营情况和不良信用记录等情况进行核查；</w:t>
      </w:r>
    </w:p>
    <w:p w14:paraId="10C10CB3">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Tahoma" w:eastAsia="仿宋_GB2312" w:cs="宋体"/>
          <w:color w:val="auto"/>
          <w:sz w:val="32"/>
          <w:szCs w:val="32"/>
          <w:highlight w:val="none"/>
          <w:lang w:val="en-US" w:eastAsia="zh-CN" w:bidi="ar-SA"/>
        </w:rPr>
      </w:pPr>
      <w:r>
        <w:rPr>
          <w:rFonts w:hint="eastAsia" w:ascii="仿宋_GB2312" w:hAnsi="Tahoma" w:eastAsia="仿宋_GB2312" w:cs="宋体"/>
          <w:color w:val="auto"/>
          <w:sz w:val="32"/>
          <w:szCs w:val="32"/>
          <w:highlight w:val="none"/>
          <w:lang w:val="en-US" w:eastAsia="zh-CN" w:bidi="ar-SA"/>
        </w:rPr>
        <w:t>（五）</w:t>
      </w:r>
      <w:r>
        <w:rPr>
          <w:rFonts w:hint="eastAsia" w:ascii="仿宋_GB2312" w:hAnsi="仿宋_GB2312" w:cs="仿宋_GB2312"/>
          <w:color w:val="auto"/>
          <w:kern w:val="2"/>
          <w:sz w:val="32"/>
          <w:szCs w:val="32"/>
          <w:highlight w:val="none"/>
          <w:shd w:val="clear" w:color="auto" w:fill="auto"/>
          <w:lang w:val="en-US" w:eastAsia="zh-CN" w:bidi="ar-SA"/>
        </w:rPr>
        <w:t>区工业和信息化局</w:t>
      </w:r>
      <w:r>
        <w:rPr>
          <w:rFonts w:hint="eastAsia" w:ascii="仿宋_GB2312" w:hAnsi="Tahoma" w:eastAsia="仿宋_GB2312" w:cs="宋体"/>
          <w:color w:val="auto"/>
          <w:sz w:val="32"/>
          <w:szCs w:val="32"/>
          <w:highlight w:val="none"/>
          <w:lang w:val="en-US" w:eastAsia="zh-CN" w:bidi="ar-SA"/>
        </w:rPr>
        <w:t>将资助企业名单及指标分配方案汇总报区人才工作局复核后，提交</w:t>
      </w:r>
      <w:r>
        <w:rPr>
          <w:rFonts w:hint="eastAsia" w:ascii="仿宋_GB2312" w:hAnsi="仿宋_GB2312" w:cs="仿宋_GB2312"/>
          <w:color w:val="auto"/>
          <w:kern w:val="2"/>
          <w:sz w:val="32"/>
          <w:szCs w:val="32"/>
          <w:highlight w:val="none"/>
          <w:shd w:val="clear" w:color="auto" w:fill="auto"/>
          <w:lang w:val="en-US" w:eastAsia="zh-CN" w:bidi="ar-SA"/>
        </w:rPr>
        <w:t>区工业和信息化局</w:t>
      </w:r>
      <w:r>
        <w:rPr>
          <w:rFonts w:hint="eastAsia" w:ascii="仿宋_GB2312" w:hAnsi="Tahoma" w:eastAsia="仿宋_GB2312" w:cs="宋体"/>
          <w:color w:val="auto"/>
          <w:sz w:val="32"/>
          <w:szCs w:val="32"/>
          <w:highlight w:val="none"/>
          <w:lang w:val="en-US" w:eastAsia="zh-CN" w:bidi="ar-SA"/>
        </w:rPr>
        <w:t>会议审议；</w:t>
      </w:r>
    </w:p>
    <w:p w14:paraId="0DB44926">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Tahoma" w:eastAsia="仿宋_GB2312" w:cs="宋体"/>
          <w:color w:val="auto"/>
          <w:sz w:val="32"/>
          <w:szCs w:val="32"/>
          <w:highlight w:val="none"/>
          <w:lang w:val="en-US" w:eastAsia="zh-CN" w:bidi="ar-SA"/>
        </w:rPr>
      </w:pPr>
      <w:r>
        <w:rPr>
          <w:rFonts w:hint="eastAsia" w:ascii="仿宋_GB2312" w:hAnsi="Tahoma" w:eastAsia="仿宋_GB2312" w:cs="宋体"/>
          <w:color w:val="auto"/>
          <w:sz w:val="32"/>
          <w:szCs w:val="32"/>
          <w:highlight w:val="none"/>
          <w:lang w:val="en-US" w:eastAsia="zh-CN" w:bidi="ar-SA"/>
        </w:rPr>
        <w:t>（六）审议通过后，由</w:t>
      </w:r>
      <w:r>
        <w:rPr>
          <w:rFonts w:hint="eastAsia" w:ascii="仿宋_GB2312" w:hAnsi="仿宋_GB2312" w:cs="仿宋_GB2312"/>
          <w:color w:val="auto"/>
          <w:kern w:val="2"/>
          <w:sz w:val="32"/>
          <w:szCs w:val="32"/>
          <w:highlight w:val="none"/>
          <w:shd w:val="clear" w:color="auto" w:fill="auto"/>
          <w:lang w:val="en-US" w:eastAsia="zh-CN" w:bidi="ar-SA"/>
        </w:rPr>
        <w:t>区工业和信息化局</w:t>
      </w:r>
      <w:r>
        <w:rPr>
          <w:rFonts w:hint="eastAsia" w:ascii="仿宋_GB2312" w:hAnsi="Tahoma" w:eastAsia="仿宋_GB2312" w:cs="宋体"/>
          <w:color w:val="auto"/>
          <w:sz w:val="32"/>
          <w:szCs w:val="32"/>
          <w:highlight w:val="none"/>
          <w:lang w:val="en-US" w:eastAsia="zh-CN" w:bidi="ar-SA"/>
        </w:rPr>
        <w:t>通知企业提交资助对象申报材料；</w:t>
      </w:r>
    </w:p>
    <w:p w14:paraId="5425E62B">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Tahoma" w:eastAsia="仿宋_GB2312" w:cs="宋体"/>
          <w:color w:val="auto"/>
          <w:sz w:val="32"/>
          <w:szCs w:val="32"/>
          <w:highlight w:val="none"/>
          <w:lang w:val="en-US" w:eastAsia="zh-CN" w:bidi="ar-SA"/>
        </w:rPr>
      </w:pPr>
      <w:r>
        <w:rPr>
          <w:rFonts w:hint="eastAsia" w:ascii="仿宋_GB2312" w:hAnsi="Tahoma" w:eastAsia="仿宋_GB2312" w:cs="宋体"/>
          <w:color w:val="auto"/>
          <w:sz w:val="32"/>
          <w:szCs w:val="32"/>
          <w:highlight w:val="none"/>
          <w:lang w:val="en-US" w:eastAsia="zh-CN" w:bidi="ar-SA"/>
        </w:rPr>
        <w:t>（七）企业提交资助对象申报材料后，由区工业和信息化局根据人才积分规定确定资助档次，</w:t>
      </w:r>
      <w:r>
        <w:rPr>
          <w:rFonts w:hint="eastAsia" w:ascii="仿宋_GB2312" w:cs="宋体"/>
          <w:color w:val="auto"/>
          <w:sz w:val="32"/>
          <w:szCs w:val="32"/>
          <w:highlight w:val="none"/>
          <w:lang w:val="en-US" w:eastAsia="zh-CN" w:bidi="ar-SA"/>
        </w:rPr>
        <w:t>报</w:t>
      </w:r>
      <w:r>
        <w:rPr>
          <w:rFonts w:hint="eastAsia" w:ascii="仿宋_GB2312" w:hAnsi="Tahoma" w:eastAsia="仿宋_GB2312" w:cs="宋体"/>
          <w:color w:val="auto"/>
          <w:sz w:val="32"/>
          <w:szCs w:val="32"/>
          <w:highlight w:val="none"/>
          <w:lang w:val="en-US" w:eastAsia="zh-CN" w:bidi="ar-SA"/>
        </w:rPr>
        <w:t>区委宣传部复核；复核通过后，报区人才工作局备案，并报分管区领导审批。</w:t>
      </w:r>
    </w:p>
    <w:p w14:paraId="03B39633">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Tahoma" w:eastAsia="仿宋_GB2312" w:cs="宋体"/>
          <w:color w:val="auto"/>
          <w:sz w:val="32"/>
          <w:szCs w:val="32"/>
          <w:highlight w:val="none"/>
          <w:lang w:val="en-US" w:eastAsia="zh-CN" w:bidi="ar-SA"/>
        </w:rPr>
      </w:pPr>
      <w:r>
        <w:rPr>
          <w:rFonts w:hint="eastAsia" w:ascii="仿宋_GB2312" w:hAnsi="Tahoma" w:eastAsia="仿宋_GB2312" w:cs="宋体"/>
          <w:color w:val="auto"/>
          <w:sz w:val="32"/>
          <w:szCs w:val="32"/>
          <w:highlight w:val="none"/>
          <w:lang w:val="en-US" w:eastAsia="zh-CN" w:bidi="ar-SA"/>
        </w:rPr>
        <w:t>（八）</w:t>
      </w:r>
      <w:r>
        <w:rPr>
          <w:rFonts w:hint="eastAsia" w:ascii="仿宋_GB2312" w:hAnsi="仿宋_GB2312" w:cs="仿宋_GB2312"/>
          <w:color w:val="auto"/>
          <w:kern w:val="2"/>
          <w:sz w:val="32"/>
          <w:szCs w:val="32"/>
          <w:highlight w:val="none"/>
          <w:shd w:val="clear" w:color="auto" w:fill="auto"/>
          <w:lang w:val="en-US" w:eastAsia="zh-CN" w:bidi="ar-SA"/>
        </w:rPr>
        <w:t>区工业和信息化局</w:t>
      </w:r>
      <w:r>
        <w:rPr>
          <w:rFonts w:hint="eastAsia" w:ascii="仿宋_GB2312" w:hAnsi="Tahoma" w:eastAsia="仿宋_GB2312" w:cs="宋体"/>
          <w:color w:val="auto"/>
          <w:sz w:val="32"/>
          <w:szCs w:val="32"/>
          <w:highlight w:val="none"/>
          <w:lang w:val="en-US" w:eastAsia="zh-CN" w:bidi="ar-SA"/>
        </w:rPr>
        <w:t>下达支持计划；</w:t>
      </w:r>
    </w:p>
    <w:p w14:paraId="448678B2">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Tahoma" w:eastAsia="仿宋_GB2312" w:cs="宋体"/>
          <w:color w:val="auto"/>
          <w:sz w:val="32"/>
          <w:szCs w:val="32"/>
          <w:highlight w:val="none"/>
          <w:lang w:val="en-US" w:eastAsia="zh-CN" w:bidi="ar-SA"/>
        </w:rPr>
      </w:pPr>
      <w:r>
        <w:rPr>
          <w:rFonts w:hint="eastAsia" w:ascii="仿宋_GB2312" w:hAnsi="Tahoma" w:eastAsia="仿宋_GB2312" w:cs="宋体"/>
          <w:color w:val="auto"/>
          <w:sz w:val="32"/>
          <w:szCs w:val="32"/>
          <w:highlight w:val="none"/>
          <w:lang w:val="en-US" w:eastAsia="zh-CN" w:bidi="ar-SA"/>
        </w:rPr>
        <w:t>（九）区财政部门及时安排资金，</w:t>
      </w:r>
      <w:r>
        <w:rPr>
          <w:rFonts w:hint="eastAsia" w:ascii="仿宋_GB2312" w:hAnsi="仿宋_GB2312" w:cs="仿宋_GB2312"/>
          <w:color w:val="auto"/>
          <w:kern w:val="2"/>
          <w:sz w:val="32"/>
          <w:szCs w:val="32"/>
          <w:highlight w:val="none"/>
          <w:shd w:val="clear" w:color="auto" w:fill="auto"/>
          <w:lang w:val="en-US" w:eastAsia="zh-CN" w:bidi="ar-SA"/>
        </w:rPr>
        <w:t>区工业和信息化局</w:t>
      </w:r>
      <w:r>
        <w:rPr>
          <w:rFonts w:hint="eastAsia" w:ascii="仿宋_GB2312" w:hAnsi="Tahoma" w:eastAsia="仿宋_GB2312" w:cs="宋体"/>
          <w:color w:val="auto"/>
          <w:sz w:val="32"/>
          <w:szCs w:val="32"/>
          <w:highlight w:val="none"/>
          <w:lang w:val="en-US" w:eastAsia="zh-CN" w:bidi="ar-SA"/>
        </w:rPr>
        <w:t>按规定拨付资助经费。</w:t>
      </w:r>
    </w:p>
    <w:p w14:paraId="25018FE8">
      <w:pPr>
        <w:pStyle w:val="2"/>
        <w:pageBreakBefore w:val="0"/>
        <w:numPr>
          <w:ilvl w:val="0"/>
          <w:numId w:val="0"/>
        </w:numPr>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黑体" w:hAnsi="黑体" w:eastAsia="黑体" w:cs="黑体"/>
          <w:bCs/>
          <w:color w:val="auto"/>
          <w:kern w:val="2"/>
          <w:sz w:val="32"/>
          <w:szCs w:val="32"/>
          <w:highlight w:val="none"/>
          <w:lang w:val="en-US" w:eastAsia="zh-CN" w:bidi="ar-SA"/>
        </w:rPr>
      </w:pPr>
      <w:r>
        <w:rPr>
          <w:rFonts w:hint="eastAsia" w:ascii="黑体" w:hAnsi="黑体" w:eastAsia="黑体" w:cs="黑体"/>
          <w:bCs/>
          <w:color w:val="auto"/>
          <w:kern w:val="2"/>
          <w:sz w:val="32"/>
          <w:szCs w:val="32"/>
          <w:highlight w:val="none"/>
          <w:lang w:val="en-US" w:eastAsia="zh-CN" w:bidi="ar-SA"/>
        </w:rPr>
        <w:t>七、所需材料</w:t>
      </w:r>
    </w:p>
    <w:p w14:paraId="7E8DA9BB">
      <w:pPr>
        <w:keepNext w:val="0"/>
        <w:keepLines w:val="0"/>
        <w:pageBreakBefore w:val="0"/>
        <w:widowControl/>
        <w:kinsoku/>
        <w:wordWrap/>
        <w:overflowPunct/>
        <w:topLinePunct w:val="0"/>
        <w:autoSpaceDE/>
        <w:autoSpaceDN/>
        <w:bidi w:val="0"/>
        <w:adjustRightInd/>
        <w:snapToGrid/>
        <w:spacing w:after="0" w:line="560" w:lineRule="exact"/>
        <w:ind w:leftChars="0" w:firstLine="640" w:firstLineChars="200"/>
        <w:jc w:val="both"/>
        <w:textAlignment w:val="auto"/>
        <w:outlineLvl w:val="0"/>
        <w:rPr>
          <w:rFonts w:hint="eastAsia" w:ascii="楷体_GB2312" w:hAnsi="楷体_GB2312" w:eastAsia="楷体_GB2312" w:cs="楷体_GB2312"/>
          <w:color w:val="auto"/>
          <w:kern w:val="0"/>
          <w:sz w:val="32"/>
          <w:szCs w:val="32"/>
          <w:highlight w:val="none"/>
          <w:lang w:val="en-US" w:eastAsia="zh-CN" w:bidi="ar-SA"/>
        </w:rPr>
      </w:pPr>
      <w:bookmarkStart w:id="8" w:name="_Toc1011876159"/>
      <w:r>
        <w:rPr>
          <w:rFonts w:hint="eastAsia" w:ascii="楷体_GB2312" w:hAnsi="楷体_GB2312" w:eastAsia="楷体_GB2312" w:cs="楷体_GB2312"/>
          <w:color w:val="auto"/>
          <w:kern w:val="0"/>
          <w:sz w:val="32"/>
          <w:szCs w:val="32"/>
          <w:highlight w:val="none"/>
          <w:lang w:val="en-US" w:eastAsia="zh-CN" w:bidi="ar-SA"/>
        </w:rPr>
        <w:t>（一）企业申报材料</w:t>
      </w:r>
      <w:bookmarkEnd w:id="8"/>
    </w:p>
    <w:p w14:paraId="4AA9CC60">
      <w:pPr>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1.在线填写</w:t>
      </w:r>
      <w:r>
        <w:rPr>
          <w:rFonts w:hint="eastAsia" w:ascii="仿宋_GB2312" w:hAnsi="Tahoma" w:eastAsia="仿宋_GB2312" w:cs="宋体"/>
          <w:color w:val="auto"/>
          <w:sz w:val="32"/>
          <w:szCs w:val="32"/>
          <w:highlight w:val="none"/>
          <w:lang w:val="en-US" w:eastAsia="zh-CN" w:bidi="ar-SA"/>
        </w:rPr>
        <w:t>《重点产业人才支持行动-</w:t>
      </w:r>
      <w:r>
        <w:rPr>
          <w:rFonts w:hint="eastAsia" w:ascii="仿宋_GB2312" w:eastAsia="仿宋_GB2312" w:cs="宋体"/>
          <w:color w:val="auto"/>
          <w:sz w:val="32"/>
          <w:szCs w:val="32"/>
          <w:highlight w:val="none"/>
          <w:lang w:val="en-US" w:eastAsia="zh-CN" w:bidi="ar-SA"/>
        </w:rPr>
        <w:t>游戏</w:t>
      </w:r>
      <w:r>
        <w:rPr>
          <w:rFonts w:hint="eastAsia" w:ascii="仿宋_GB2312" w:hAnsi="Tahoma" w:eastAsia="仿宋_GB2312" w:cs="宋体"/>
          <w:color w:val="auto"/>
          <w:sz w:val="32"/>
          <w:szCs w:val="32"/>
          <w:highlight w:val="none"/>
          <w:lang w:val="en-US" w:eastAsia="zh-CN" w:bidi="ar-SA"/>
        </w:rPr>
        <w:t>产业领域骨干人才支持项目申请书》</w:t>
      </w:r>
      <w:r>
        <w:rPr>
          <w:rFonts w:hint="eastAsia" w:ascii="仿宋_GB2312" w:hAnsi="Times New Roman" w:eastAsia="仿宋_GB2312" w:cs="Times New Roman"/>
          <w:color w:val="auto"/>
          <w:sz w:val="32"/>
          <w:szCs w:val="32"/>
          <w:highlight w:val="none"/>
          <w:lang w:eastAsia="zh-CN"/>
        </w:rPr>
        <w:t>；</w:t>
      </w:r>
    </w:p>
    <w:p w14:paraId="0FFB2180">
      <w:pPr>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eastAsia="仿宋_GB2312" w:cs="仿宋_GB2312"/>
          <w:color w:val="auto"/>
          <w:sz w:val="32"/>
          <w:szCs w:val="32"/>
          <w:highlight w:val="none"/>
        </w:rPr>
      </w:pPr>
      <w:r>
        <w:rPr>
          <w:rFonts w:hint="eastAsia" w:ascii="仿宋_GB2312" w:eastAsia="仿宋_GB2312" w:cs="宋体"/>
          <w:color w:val="auto"/>
          <w:sz w:val="32"/>
          <w:szCs w:val="32"/>
          <w:highlight w:val="none"/>
          <w:lang w:val="en-US" w:eastAsia="zh-CN" w:bidi="ar-SA"/>
        </w:rPr>
        <w:t>2.</w:t>
      </w:r>
      <w:r>
        <w:rPr>
          <w:rFonts w:hint="eastAsia" w:ascii="仿宋_GB2312" w:hAnsi="Tahoma" w:eastAsia="仿宋_GB2312" w:cs="宋体"/>
          <w:color w:val="auto"/>
          <w:sz w:val="32"/>
          <w:szCs w:val="32"/>
          <w:highlight w:val="none"/>
          <w:lang w:val="en-US" w:eastAsia="zh-CN" w:bidi="ar-SA"/>
        </w:rPr>
        <w:t>《重点产业人才支持行动-</w:t>
      </w:r>
      <w:r>
        <w:rPr>
          <w:rFonts w:hint="eastAsia" w:ascii="仿宋_GB2312" w:eastAsia="仿宋_GB2312" w:cs="宋体"/>
          <w:color w:val="auto"/>
          <w:sz w:val="32"/>
          <w:szCs w:val="32"/>
          <w:highlight w:val="none"/>
          <w:lang w:val="en-US" w:eastAsia="zh-CN" w:bidi="ar-SA"/>
        </w:rPr>
        <w:t>游戏</w:t>
      </w:r>
      <w:r>
        <w:rPr>
          <w:rFonts w:hint="eastAsia" w:ascii="仿宋_GB2312" w:hAnsi="Tahoma" w:eastAsia="仿宋_GB2312" w:cs="宋体"/>
          <w:color w:val="auto"/>
          <w:sz w:val="32"/>
          <w:szCs w:val="32"/>
          <w:highlight w:val="none"/>
          <w:lang w:val="en-US" w:eastAsia="zh-CN" w:bidi="ar-SA"/>
        </w:rPr>
        <w:t>产业领域骨干人才支持项目申请书》</w:t>
      </w:r>
      <w:r>
        <w:rPr>
          <w:rFonts w:hint="eastAsia" w:ascii="仿宋_GB2312" w:hAnsi="仿宋_GB2312" w:eastAsia="仿宋_GB2312" w:cs="仿宋_GB2312"/>
          <w:color w:val="auto"/>
          <w:sz w:val="32"/>
          <w:szCs w:val="32"/>
          <w:highlight w:val="none"/>
        </w:rPr>
        <w:t>填表声明与保证（法定代表人签字、加盖单位公章并填写日期后，原件彩色扫描成PDF文件上传）；</w:t>
      </w:r>
    </w:p>
    <w:p w14:paraId="003D3CF6">
      <w:pPr>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eastAsia="仿宋_GB2312" w:cs="仿宋_GB2312"/>
          <w:color w:val="auto"/>
          <w:spacing w:val="-6"/>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pacing w:val="-6"/>
          <w:sz w:val="32"/>
          <w:szCs w:val="32"/>
          <w:highlight w:val="none"/>
          <w:lang w:eastAsia="zh-CN"/>
        </w:rPr>
        <w:t>统一社会信用代码证书（原件彩色扫描成PDF文件上传）；</w:t>
      </w:r>
    </w:p>
    <w:p w14:paraId="76C836DC">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游戏研发</w:t>
      </w:r>
      <w:r>
        <w:rPr>
          <w:rFonts w:hint="eastAsia" w:ascii="仿宋_GB2312" w:hAnsi="仿宋_GB2312" w:eastAsia="仿宋_GB2312" w:cs="仿宋_GB2312"/>
          <w:color w:val="auto"/>
          <w:kern w:val="0"/>
          <w:sz w:val="32"/>
          <w:szCs w:val="32"/>
          <w:highlight w:val="none"/>
          <w:shd w:val="clear" w:color="auto" w:fill="auto"/>
          <w:lang w:val="en-US" w:eastAsia="zh-CN"/>
        </w:rPr>
        <w:t>申报单位佐证材料</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eastAsia="zh-CN"/>
        </w:rPr>
        <w:t>根据所属标准详细提供</w:t>
      </w:r>
      <w:r>
        <w:rPr>
          <w:rFonts w:hint="eastAsia" w:ascii="仿宋_GB2312" w:hAnsi="仿宋_GB2312" w:cs="仿宋_GB2312"/>
          <w:color w:val="auto"/>
          <w:sz w:val="32"/>
          <w:szCs w:val="32"/>
          <w:highlight w:val="none"/>
          <w:shd w:val="clear" w:color="auto" w:fill="auto"/>
          <w:lang w:val="en-US" w:eastAsia="zh-CN"/>
        </w:rPr>
        <w:t>入围名单、</w:t>
      </w:r>
      <w:r>
        <w:rPr>
          <w:rFonts w:hint="eastAsia" w:ascii="仿宋_GB2312" w:hAnsi="仿宋_GB2312" w:eastAsia="仿宋_GB2312" w:cs="仿宋_GB2312"/>
          <w:color w:val="auto"/>
          <w:sz w:val="32"/>
          <w:szCs w:val="32"/>
          <w:highlight w:val="none"/>
          <w:shd w:val="clear" w:color="auto" w:fill="auto"/>
          <w:lang w:eastAsia="zh-CN"/>
        </w:rPr>
        <w:t>获奖证书</w:t>
      </w:r>
      <w:r>
        <w:rPr>
          <w:rFonts w:hint="eastAsia" w:ascii="仿宋_GB2312" w:hAnsi="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投资协议书或者股权投资证明文件及股权变更证明文件</w:t>
      </w:r>
      <w:r>
        <w:rPr>
          <w:rFonts w:hint="eastAsia" w:ascii="仿宋_GB2312" w:hAnsi="仿宋_GB2312" w:eastAsia="仿宋_GB2312" w:cs="仿宋_GB2312"/>
          <w:color w:val="auto"/>
          <w:sz w:val="32"/>
          <w:szCs w:val="32"/>
          <w:highlight w:val="none"/>
          <w:shd w:val="clear" w:color="auto" w:fill="auto"/>
          <w:lang w:eastAsia="zh-CN"/>
        </w:rPr>
        <w:t>等相关材料，</w:t>
      </w:r>
      <w:r>
        <w:rPr>
          <w:rFonts w:hint="eastAsia" w:ascii="仿宋_GB2312" w:hAnsi="仿宋_GB2312" w:eastAsia="仿宋_GB2312" w:cs="仿宋_GB2312"/>
          <w:color w:val="auto"/>
          <w:sz w:val="32"/>
          <w:szCs w:val="32"/>
          <w:highlight w:val="none"/>
          <w:shd w:val="clear" w:color="auto" w:fill="auto"/>
        </w:rPr>
        <w:t>加盖本单位公章</w:t>
      </w:r>
      <w:r>
        <w:rPr>
          <w:rFonts w:hint="eastAsia" w:ascii="仿宋_GB2312" w:hAnsi="仿宋_GB2312" w:eastAsia="仿宋_GB2312" w:cs="仿宋_GB2312"/>
          <w:color w:val="auto"/>
          <w:sz w:val="32"/>
          <w:szCs w:val="32"/>
          <w:highlight w:val="none"/>
          <w:lang w:eastAsia="zh-CN"/>
        </w:rPr>
        <w:t>彩色扫描成PDF文件上传</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cs="仿宋_GB2312"/>
          <w:color w:val="auto"/>
          <w:sz w:val="32"/>
          <w:szCs w:val="32"/>
          <w:highlight w:val="none"/>
          <w:shd w:val="clear" w:color="auto" w:fill="auto"/>
          <w:lang w:eastAsia="zh-CN"/>
        </w:rPr>
        <w:t>；</w:t>
      </w:r>
    </w:p>
    <w:p w14:paraId="10B65C1D">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default" w:ascii="仿宋_GB2312" w:hAnsi="仿宋_GB2312" w:cs="仿宋_GB2312"/>
          <w:color w:val="auto"/>
          <w:sz w:val="32"/>
          <w:szCs w:val="32"/>
          <w:highlight w:val="none"/>
          <w:shd w:val="clear" w:color="auto" w:fill="auto"/>
          <w:lang w:val="en-US" w:eastAsia="zh-CN"/>
        </w:rPr>
      </w:pPr>
      <w:r>
        <w:rPr>
          <w:rFonts w:hint="eastAsia" w:ascii="仿宋_GB2312"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cs="仿宋_GB2312"/>
          <w:color w:val="auto"/>
          <w:sz w:val="32"/>
          <w:szCs w:val="32"/>
          <w:highlight w:val="none"/>
          <w:lang w:val="en-US" w:eastAsia="zh-CN"/>
        </w:rPr>
        <w:t>游戏分发平台</w:t>
      </w:r>
      <w:r>
        <w:rPr>
          <w:rFonts w:hint="eastAsia" w:ascii="仿宋_GB2312" w:hAnsi="仿宋_GB2312" w:eastAsia="仿宋_GB2312" w:cs="仿宋_GB2312"/>
          <w:color w:val="auto"/>
          <w:kern w:val="0"/>
          <w:sz w:val="32"/>
          <w:szCs w:val="32"/>
          <w:highlight w:val="none"/>
          <w:shd w:val="clear" w:color="auto" w:fill="auto"/>
          <w:lang w:val="en-US" w:eastAsia="zh-CN"/>
        </w:rPr>
        <w:t>申报单位佐证材料</w:t>
      </w:r>
      <w:r>
        <w:rPr>
          <w:rFonts w:hint="eastAsia" w:ascii="仿宋_GB2312" w:hAnsi="仿宋_GB2312" w:cs="仿宋_GB2312"/>
          <w:color w:val="auto"/>
          <w:sz w:val="32"/>
          <w:szCs w:val="32"/>
          <w:highlight w:val="none"/>
          <w:shd w:val="clear" w:color="auto" w:fill="auto"/>
          <w:lang w:eastAsia="zh-CN"/>
        </w:rPr>
        <w:t>（</w:t>
      </w:r>
      <w:r>
        <w:rPr>
          <w:rFonts w:hint="eastAsia" w:ascii="仿宋_GB2312" w:hAnsi="仿宋_GB2312" w:cs="仿宋_GB2312"/>
          <w:color w:val="auto"/>
          <w:sz w:val="32"/>
          <w:szCs w:val="32"/>
          <w:highlight w:val="none"/>
          <w:shd w:val="clear" w:color="auto" w:fill="auto"/>
          <w:lang w:val="en-US" w:eastAsia="zh-CN"/>
        </w:rPr>
        <w:t>游戏运营合同/协议、正式结算单、第三方审计报告、投资协议书或者股权投资证明文件及股权变更证明文件等相关材料，加盖本单位公章彩色扫描成PDF文件上传）；</w:t>
      </w:r>
    </w:p>
    <w:p w14:paraId="44465AE2">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shd w:val="clear" w:color="auto" w:fill="auto"/>
          <w:lang w:val="en-US" w:eastAsia="zh-CN"/>
        </w:rPr>
        <w:t>6.</w:t>
      </w:r>
      <w:r>
        <w:rPr>
          <w:rFonts w:hint="eastAsia" w:ascii="仿宋_GB2312" w:hAnsi="仿宋_GB2312" w:cs="仿宋_GB2312"/>
          <w:color w:val="auto"/>
          <w:sz w:val="32"/>
          <w:szCs w:val="32"/>
          <w:highlight w:val="none"/>
          <w:shd w:val="clear" w:color="auto" w:fill="auto"/>
          <w:lang w:eastAsia="zh-CN"/>
        </w:rPr>
        <w:t>单位社会保险参保缴费情况证明及附表（需有职工明细，社保系统下载后，</w:t>
      </w:r>
      <w:r>
        <w:rPr>
          <w:rFonts w:hint="eastAsia" w:ascii="仿宋_GB2312" w:hAnsi="仿宋_GB2312" w:eastAsia="仿宋_GB2312" w:cs="仿宋_GB2312"/>
          <w:strike w:val="0"/>
          <w:dstrike w:val="0"/>
          <w:color w:val="auto"/>
          <w:kern w:val="0"/>
          <w:sz w:val="32"/>
          <w:szCs w:val="32"/>
          <w:highlight w:val="none"/>
          <w:shd w:val="clear" w:color="auto" w:fill="auto"/>
          <w:lang w:val="en-US" w:eastAsia="zh-CN"/>
        </w:rPr>
        <w:t>原件彩色扫描成PDF文件上传</w:t>
      </w:r>
      <w:r>
        <w:rPr>
          <w:rFonts w:hint="eastAsia" w:ascii="仿宋_GB2312" w:hAnsi="仿宋_GB2312" w:cs="仿宋_GB2312"/>
          <w:color w:val="auto"/>
          <w:sz w:val="32"/>
          <w:szCs w:val="32"/>
          <w:highlight w:val="none"/>
          <w:shd w:val="clear" w:color="auto" w:fill="auto"/>
          <w:lang w:eastAsia="zh-CN"/>
        </w:rPr>
        <w:t>）。</w:t>
      </w:r>
    </w:p>
    <w:p w14:paraId="784A7A91">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楷体_GB2312" w:hAnsi="楷体_GB2312" w:eastAsia="楷体_GB2312" w:cs="楷体_GB2312"/>
          <w:color w:val="auto"/>
          <w:kern w:val="0"/>
          <w:sz w:val="32"/>
          <w:szCs w:val="32"/>
          <w:highlight w:val="none"/>
          <w:shd w:val="clear" w:color="auto" w:fill="auto"/>
          <w:lang w:val="en-US" w:eastAsia="zh-CN"/>
        </w:rPr>
      </w:pPr>
      <w:r>
        <w:rPr>
          <w:rFonts w:hint="eastAsia" w:ascii="楷体_GB2312" w:hAnsi="楷体_GB2312" w:eastAsia="楷体_GB2312" w:cs="楷体_GB2312"/>
          <w:color w:val="auto"/>
          <w:kern w:val="0"/>
          <w:sz w:val="32"/>
          <w:szCs w:val="32"/>
          <w:highlight w:val="none"/>
          <w:shd w:val="clear" w:color="auto" w:fill="auto"/>
          <w:lang w:val="en-US" w:eastAsia="zh-CN"/>
        </w:rPr>
        <w:t>（二）资助</w:t>
      </w:r>
      <w:r>
        <w:rPr>
          <w:rFonts w:hint="eastAsia" w:ascii="楷体_GB2312" w:hAnsi="楷体_GB2312" w:eastAsia="楷体_GB2312" w:cs="楷体_GB2312"/>
          <w:color w:val="auto"/>
          <w:kern w:val="0"/>
          <w:sz w:val="32"/>
          <w:szCs w:val="32"/>
          <w:highlight w:val="none"/>
          <w:lang w:val="en-US" w:eastAsia="zh-CN" w:bidi="ar-SA"/>
        </w:rPr>
        <w:t>对象材料</w:t>
      </w:r>
    </w:p>
    <w:p w14:paraId="40543EAA">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cs="仿宋_GB2312"/>
          <w:color w:val="auto"/>
          <w:sz w:val="32"/>
          <w:szCs w:val="32"/>
          <w:highlight w:val="none"/>
          <w:vertAlign w:val="baseline"/>
          <w:lang w:val="en-US" w:eastAsia="zh-CN"/>
        </w:rPr>
      </w:pPr>
      <w:r>
        <w:rPr>
          <w:rFonts w:hint="eastAsia" w:ascii="仿宋_GB2312" w:hAnsi="仿宋_GB2312" w:cs="仿宋_GB2312"/>
          <w:color w:val="auto"/>
          <w:sz w:val="32"/>
          <w:szCs w:val="32"/>
          <w:highlight w:val="none"/>
          <w:vertAlign w:val="baseline"/>
          <w:lang w:val="en-US" w:eastAsia="zh-CN"/>
        </w:rPr>
        <w:t>1.申报资助对象身份证</w:t>
      </w:r>
      <w:r>
        <w:rPr>
          <w:rFonts w:hint="eastAsia" w:ascii="仿宋_GB2312" w:hAnsi="仿宋_GB2312" w:eastAsia="仿宋_GB2312" w:cs="仿宋_GB2312"/>
          <w:color w:val="auto"/>
          <w:sz w:val="32"/>
          <w:szCs w:val="32"/>
          <w:highlight w:val="none"/>
          <w:lang w:eastAsia="zh-CN"/>
        </w:rPr>
        <w:t>原件（或复印件加盖单位公章）彩色扫描成PDF文件上传</w:t>
      </w:r>
      <w:r>
        <w:rPr>
          <w:rFonts w:hint="eastAsia" w:ascii="仿宋_GB2312" w:hAnsi="仿宋_GB2312" w:cs="仿宋_GB2312"/>
          <w:color w:val="auto"/>
          <w:sz w:val="32"/>
          <w:szCs w:val="32"/>
          <w:highlight w:val="none"/>
          <w:lang w:eastAsia="zh-CN"/>
        </w:rPr>
        <w:t>；</w:t>
      </w:r>
    </w:p>
    <w:p w14:paraId="49D9D16A">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eastAsia="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vertAlign w:val="baseline"/>
          <w:lang w:val="en-US" w:eastAsia="zh-CN"/>
        </w:rPr>
        <w:t>2.</w:t>
      </w:r>
      <w:r>
        <w:rPr>
          <w:rFonts w:hint="eastAsia" w:ascii="仿宋_GB2312" w:hAnsi="仿宋_GB2312" w:eastAsia="仿宋_GB2312" w:cs="仿宋_GB2312"/>
          <w:color w:val="auto"/>
          <w:sz w:val="32"/>
          <w:szCs w:val="32"/>
          <w:highlight w:val="none"/>
          <w:vertAlign w:val="baseline"/>
          <w:lang w:val="en-US" w:eastAsia="zh-CN"/>
        </w:rPr>
        <w:t>申报</w:t>
      </w:r>
      <w:r>
        <w:rPr>
          <w:rFonts w:hint="eastAsia" w:ascii="仿宋_GB2312" w:hAnsi="仿宋_GB2312" w:cs="仿宋_GB2312"/>
          <w:color w:val="auto"/>
          <w:sz w:val="32"/>
          <w:szCs w:val="32"/>
          <w:highlight w:val="none"/>
          <w:vertAlign w:val="baseline"/>
          <w:lang w:val="en-US" w:eastAsia="zh-CN"/>
        </w:rPr>
        <w:t>资助</w:t>
      </w:r>
      <w:r>
        <w:rPr>
          <w:rFonts w:hint="eastAsia" w:ascii="仿宋_GB2312" w:hAnsi="仿宋_GB2312" w:eastAsia="仿宋_GB2312" w:cs="仿宋_GB2312"/>
          <w:color w:val="auto"/>
          <w:sz w:val="32"/>
          <w:szCs w:val="32"/>
          <w:highlight w:val="none"/>
          <w:vertAlign w:val="baseline"/>
          <w:lang w:val="en-US" w:eastAsia="zh-CN"/>
        </w:rPr>
        <w:t>对象</w:t>
      </w:r>
      <w:r>
        <w:rPr>
          <w:rFonts w:hint="eastAsia" w:ascii="仿宋_GB2312" w:hAnsi="仿宋_GB2312" w:cs="仿宋_GB2312"/>
          <w:color w:val="auto"/>
          <w:sz w:val="32"/>
          <w:szCs w:val="32"/>
          <w:highlight w:val="none"/>
          <w:vertAlign w:val="baseline"/>
          <w:lang w:val="en-US" w:eastAsia="zh-CN"/>
        </w:rPr>
        <w:t>与申报企业签订的</w:t>
      </w:r>
      <w:r>
        <w:rPr>
          <w:rFonts w:hint="eastAsia" w:ascii="仿宋_GB2312" w:hAnsi="仿宋_GB2312" w:eastAsia="仿宋_GB2312" w:cs="仿宋_GB2312"/>
          <w:color w:val="auto"/>
          <w:sz w:val="32"/>
          <w:szCs w:val="32"/>
          <w:highlight w:val="none"/>
          <w:vertAlign w:val="baseline"/>
          <w:lang w:val="en-US" w:eastAsia="zh-CN"/>
        </w:rPr>
        <w:t>劳动合同</w:t>
      </w:r>
      <w:r>
        <w:rPr>
          <w:rFonts w:hint="eastAsia" w:ascii="仿宋_GB2312" w:hAnsi="仿宋_GB2312" w:cs="仿宋_GB2312"/>
          <w:color w:val="auto"/>
          <w:sz w:val="32"/>
          <w:szCs w:val="32"/>
          <w:highlight w:val="none"/>
          <w:vertAlign w:val="baseline"/>
          <w:lang w:val="en-US" w:eastAsia="zh-CN"/>
        </w:rPr>
        <w:t>（</w:t>
      </w:r>
      <w:r>
        <w:rPr>
          <w:rFonts w:hint="eastAsia" w:ascii="仿宋_GB2312" w:hAnsi="仿宋_GB2312" w:eastAsia="仿宋_GB2312" w:cs="仿宋_GB2312"/>
          <w:strike w:val="0"/>
          <w:dstrike w:val="0"/>
          <w:color w:val="auto"/>
          <w:kern w:val="0"/>
          <w:sz w:val="32"/>
          <w:szCs w:val="32"/>
          <w:highlight w:val="none"/>
          <w:shd w:val="clear" w:color="auto" w:fill="auto"/>
          <w:lang w:val="en-US" w:eastAsia="zh-CN"/>
        </w:rPr>
        <w:t>原件彩色扫描成PDF文件上传</w:t>
      </w:r>
      <w:r>
        <w:rPr>
          <w:rFonts w:hint="eastAsia" w:ascii="仿宋_GB2312" w:hAnsi="仿宋_GB2312" w:cs="仿宋_GB2312"/>
          <w:color w:val="auto"/>
          <w:sz w:val="32"/>
          <w:szCs w:val="32"/>
          <w:highlight w:val="none"/>
          <w:vertAlign w:val="baseline"/>
          <w:lang w:val="en-US" w:eastAsia="zh-CN"/>
        </w:rPr>
        <w:t>）；</w:t>
      </w:r>
    </w:p>
    <w:p w14:paraId="6CAD2EAE">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cs="仿宋_GB2312"/>
          <w:color w:val="auto"/>
          <w:sz w:val="32"/>
          <w:szCs w:val="32"/>
          <w:highlight w:val="none"/>
          <w:vertAlign w:val="baseline"/>
          <w:lang w:val="en-US" w:eastAsia="zh-CN"/>
        </w:rPr>
        <w:t>3.</w:t>
      </w:r>
      <w:r>
        <w:rPr>
          <w:rFonts w:hint="eastAsia" w:ascii="仿宋_GB2312" w:hAnsi="仿宋_GB2312" w:eastAsia="仿宋_GB2312" w:cs="仿宋_GB2312"/>
          <w:color w:val="auto"/>
          <w:sz w:val="32"/>
          <w:szCs w:val="32"/>
          <w:highlight w:val="none"/>
          <w:vertAlign w:val="baseline"/>
          <w:lang w:val="en-US" w:eastAsia="zh-CN"/>
        </w:rPr>
        <w:t>申报</w:t>
      </w:r>
      <w:r>
        <w:rPr>
          <w:rFonts w:hint="eastAsia" w:ascii="仿宋_GB2312" w:hAnsi="仿宋_GB2312" w:cs="仿宋_GB2312"/>
          <w:color w:val="auto"/>
          <w:sz w:val="32"/>
          <w:szCs w:val="32"/>
          <w:highlight w:val="none"/>
          <w:vertAlign w:val="baseline"/>
          <w:lang w:val="en-US" w:eastAsia="zh-CN"/>
        </w:rPr>
        <w:t>资助</w:t>
      </w:r>
      <w:r>
        <w:rPr>
          <w:rFonts w:hint="eastAsia" w:ascii="仿宋_GB2312" w:hAnsi="仿宋_GB2312" w:eastAsia="仿宋_GB2312" w:cs="仿宋_GB2312"/>
          <w:color w:val="auto"/>
          <w:sz w:val="32"/>
          <w:szCs w:val="32"/>
          <w:highlight w:val="none"/>
          <w:vertAlign w:val="baseline"/>
          <w:lang w:val="en-US" w:eastAsia="zh-CN"/>
        </w:rPr>
        <w:t>对象</w:t>
      </w:r>
      <w:r>
        <w:rPr>
          <w:rFonts w:hint="eastAsia" w:ascii="仿宋_GB2312" w:hAnsi="仿宋_GB2312" w:cs="仿宋_GB2312"/>
          <w:color w:val="auto"/>
          <w:sz w:val="32"/>
          <w:szCs w:val="32"/>
          <w:highlight w:val="none"/>
          <w:vertAlign w:val="baseline"/>
          <w:lang w:val="en-US" w:eastAsia="zh-CN"/>
        </w:rPr>
        <w:t>近一年</w:t>
      </w:r>
      <w:r>
        <w:rPr>
          <w:rFonts w:hint="eastAsia" w:ascii="仿宋_GB2312" w:hAnsi="仿宋_GB2312" w:eastAsia="仿宋_GB2312" w:cs="仿宋_GB2312"/>
          <w:color w:val="auto"/>
          <w:sz w:val="32"/>
          <w:szCs w:val="32"/>
          <w:highlight w:val="none"/>
          <w:vertAlign w:val="baseline"/>
          <w:lang w:val="en-US" w:eastAsia="zh-CN"/>
        </w:rPr>
        <w:t>纳税证明</w:t>
      </w:r>
      <w:r>
        <w:rPr>
          <w:rFonts w:hint="eastAsia" w:ascii="仿宋_GB2312" w:hAnsi="仿宋_GB2312" w:cs="仿宋_GB2312"/>
          <w:color w:val="auto"/>
          <w:sz w:val="32"/>
          <w:szCs w:val="32"/>
          <w:highlight w:val="none"/>
          <w:vertAlign w:val="baseline"/>
          <w:lang w:val="en-US" w:eastAsia="zh-CN"/>
        </w:rPr>
        <w:t>（</w:t>
      </w:r>
      <w:r>
        <w:rPr>
          <w:rFonts w:hint="eastAsia" w:ascii="仿宋_GB2312" w:hAnsi="仿宋_GB2312" w:eastAsia="仿宋_GB2312" w:cs="仿宋_GB2312"/>
          <w:strike w:val="0"/>
          <w:dstrike w:val="0"/>
          <w:color w:val="auto"/>
          <w:kern w:val="0"/>
          <w:sz w:val="32"/>
          <w:szCs w:val="32"/>
          <w:highlight w:val="none"/>
          <w:shd w:val="clear" w:color="auto" w:fill="auto"/>
          <w:lang w:val="en-US" w:eastAsia="zh-CN"/>
        </w:rPr>
        <w:t>税务申报系统下载后，原件彩色扫描成PDF文件上传</w:t>
      </w:r>
      <w:r>
        <w:rPr>
          <w:rFonts w:hint="eastAsia" w:ascii="仿宋_GB2312" w:hAnsi="仿宋_GB2312" w:cs="仿宋_GB2312"/>
          <w:color w:val="auto"/>
          <w:sz w:val="32"/>
          <w:szCs w:val="32"/>
          <w:highlight w:val="none"/>
          <w:vertAlign w:val="baseline"/>
          <w:lang w:val="en-US" w:eastAsia="zh-CN"/>
        </w:rPr>
        <w:t>）；</w:t>
      </w:r>
    </w:p>
    <w:p w14:paraId="691EB860">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shd w:val="clear" w:color="auto" w:fill="auto"/>
          <w:lang w:val="en-US" w:eastAsia="zh-CN"/>
        </w:rPr>
        <w:t>4.</w:t>
      </w:r>
      <w:r>
        <w:rPr>
          <w:rFonts w:hint="eastAsia" w:ascii="仿宋_GB2312" w:hAnsi="仿宋_GB2312" w:cs="仿宋_GB2312"/>
          <w:color w:val="auto"/>
          <w:sz w:val="32"/>
          <w:szCs w:val="32"/>
          <w:highlight w:val="none"/>
          <w:shd w:val="clear" w:color="auto" w:fill="auto"/>
          <w:lang w:eastAsia="zh-CN"/>
        </w:rPr>
        <w:t>曾主导获奖项目的官方发布的获奖名单、提名公告、证书文件（提供其一）</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strike w:val="0"/>
          <w:dstrike w:val="0"/>
          <w:color w:val="auto"/>
          <w:kern w:val="0"/>
          <w:sz w:val="32"/>
          <w:szCs w:val="32"/>
          <w:highlight w:val="none"/>
          <w:shd w:val="clear" w:color="auto" w:fill="auto"/>
          <w:lang w:val="en-US" w:eastAsia="zh-CN"/>
        </w:rPr>
        <w:t>原件彩色扫描成PDF文件上传</w:t>
      </w:r>
      <w:r>
        <w:rPr>
          <w:rFonts w:hint="eastAsia" w:ascii="仿宋_GB2312" w:hAnsi="仿宋_GB2312" w:cs="仿宋_GB2312"/>
          <w:color w:val="auto"/>
          <w:sz w:val="32"/>
          <w:szCs w:val="32"/>
          <w:highlight w:val="none"/>
          <w:lang w:val="en-US" w:eastAsia="zh-CN"/>
        </w:rPr>
        <w:t>）；</w:t>
      </w:r>
    </w:p>
    <w:p w14:paraId="4010F1AC">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vertAlign w:val="baseline"/>
          <w:lang w:val="en-US" w:eastAsia="zh-CN"/>
        </w:rPr>
        <w:t>5.</w:t>
      </w:r>
      <w:r>
        <w:rPr>
          <w:rFonts w:hint="eastAsia" w:ascii="仿宋_GB2312" w:hAnsi="仿宋_GB2312" w:eastAsia="仿宋_GB2312" w:cs="仿宋_GB2312"/>
          <w:color w:val="auto"/>
          <w:sz w:val="32"/>
          <w:szCs w:val="32"/>
          <w:highlight w:val="none"/>
          <w:vertAlign w:val="baseline"/>
          <w:lang w:val="en-US" w:eastAsia="zh-CN"/>
        </w:rPr>
        <w:t>申报</w:t>
      </w:r>
      <w:r>
        <w:rPr>
          <w:rFonts w:hint="eastAsia" w:ascii="仿宋_GB2312" w:hAnsi="仿宋_GB2312" w:cs="仿宋_GB2312"/>
          <w:color w:val="auto"/>
          <w:sz w:val="32"/>
          <w:szCs w:val="32"/>
          <w:highlight w:val="none"/>
          <w:vertAlign w:val="baseline"/>
          <w:lang w:val="en-US" w:eastAsia="zh-CN"/>
        </w:rPr>
        <w:t>资助</w:t>
      </w:r>
      <w:r>
        <w:rPr>
          <w:rFonts w:hint="eastAsia" w:ascii="仿宋_GB2312" w:hAnsi="仿宋_GB2312" w:eastAsia="仿宋_GB2312" w:cs="仿宋_GB2312"/>
          <w:color w:val="auto"/>
          <w:sz w:val="32"/>
          <w:szCs w:val="32"/>
          <w:highlight w:val="none"/>
          <w:vertAlign w:val="baseline"/>
          <w:lang w:val="en-US" w:eastAsia="zh-CN"/>
        </w:rPr>
        <w:t>对象深圳市社会保险历年参保缴费明细表</w:t>
      </w:r>
      <w:r>
        <w:rPr>
          <w:rFonts w:hint="eastAsia" w:ascii="仿宋_GB2312" w:hAnsi="仿宋_GB2312" w:cs="仿宋_GB2312"/>
          <w:color w:val="auto"/>
          <w:sz w:val="32"/>
          <w:szCs w:val="32"/>
          <w:highlight w:val="none"/>
          <w:shd w:val="clear" w:color="auto" w:fill="auto"/>
          <w:lang w:val="en-US" w:eastAsia="zh-CN"/>
        </w:rPr>
        <w:t>或境外工作证明材料</w:t>
      </w:r>
      <w:r>
        <w:rPr>
          <w:rFonts w:hint="eastAsia" w:ascii="仿宋_GB2312" w:hAnsi="仿宋_GB2312" w:cs="仿宋_GB2312"/>
          <w:color w:val="auto"/>
          <w:sz w:val="32"/>
          <w:szCs w:val="32"/>
          <w:highlight w:val="none"/>
          <w:shd w:val="clear" w:color="auto" w:fill="auto"/>
          <w:lang w:eastAsia="zh-CN"/>
        </w:rPr>
        <w:t>（社保系统下载后，</w:t>
      </w:r>
      <w:r>
        <w:rPr>
          <w:rFonts w:hint="eastAsia" w:ascii="仿宋_GB2312" w:hAnsi="仿宋_GB2312" w:eastAsia="仿宋_GB2312" w:cs="仿宋_GB2312"/>
          <w:strike w:val="0"/>
          <w:dstrike w:val="0"/>
          <w:color w:val="auto"/>
          <w:kern w:val="0"/>
          <w:sz w:val="32"/>
          <w:szCs w:val="32"/>
          <w:highlight w:val="none"/>
          <w:shd w:val="clear" w:color="auto" w:fill="auto"/>
          <w:lang w:val="en-US" w:eastAsia="zh-CN"/>
        </w:rPr>
        <w:t>原件彩色扫描成PDF文件上传</w:t>
      </w:r>
      <w:r>
        <w:rPr>
          <w:rFonts w:hint="eastAsia" w:ascii="仿宋_GB2312" w:hAnsi="仿宋_GB2312" w:cs="仿宋_GB2312"/>
          <w:color w:val="auto"/>
          <w:sz w:val="32"/>
          <w:szCs w:val="32"/>
          <w:highlight w:val="none"/>
          <w:shd w:val="clear" w:color="auto" w:fill="auto"/>
          <w:lang w:eastAsia="zh-CN"/>
        </w:rPr>
        <w:t>）；</w:t>
      </w:r>
    </w:p>
    <w:p w14:paraId="491439DF">
      <w:pPr>
        <w:pStyle w:val="2"/>
        <w:keepNext w:val="0"/>
        <w:keepLines w:val="0"/>
        <w:pageBreakBefore w:val="0"/>
        <w:widowControl w:val="0"/>
        <w:kinsoku/>
        <w:wordWrap/>
        <w:overflowPunct/>
        <w:topLinePunct w:val="0"/>
        <w:autoSpaceDE/>
        <w:autoSpaceDN/>
        <w:bidi w:val="0"/>
        <w:adjustRightInd/>
        <w:snapToGrid/>
        <w:spacing w:after="0" w:line="560" w:lineRule="exact"/>
        <w:ind w:leftChars="0" w:firstLine="640" w:firstLineChars="200"/>
        <w:contextualSpacing/>
        <w:jc w:val="both"/>
        <w:textAlignment w:val="auto"/>
        <w:rPr>
          <w:rFonts w:hint="eastAsia" w:ascii="仿宋_GB2312" w:hAnsi="仿宋_GB2312" w:cs="仿宋_GB2312"/>
          <w:color w:val="auto"/>
          <w:sz w:val="32"/>
          <w:szCs w:val="32"/>
          <w:highlight w:val="none"/>
          <w:shd w:val="clear" w:color="auto" w:fill="auto"/>
          <w:lang w:eastAsia="zh-CN"/>
        </w:rPr>
      </w:pPr>
      <w:r>
        <w:rPr>
          <w:rFonts w:hint="eastAsia" w:ascii="仿宋_GB2312" w:hAnsi="仿宋_GB2312" w:cs="仿宋_GB2312"/>
          <w:color w:val="auto"/>
          <w:sz w:val="32"/>
          <w:szCs w:val="32"/>
          <w:highlight w:val="none"/>
          <w:shd w:val="clear" w:color="auto" w:fill="auto"/>
          <w:lang w:val="en-US" w:eastAsia="zh-CN"/>
        </w:rPr>
        <w:t>6.</w:t>
      </w:r>
      <w:r>
        <w:rPr>
          <w:rFonts w:hint="eastAsia" w:ascii="仿宋_GB2312" w:hAnsi="仿宋_GB2312" w:cs="仿宋_GB2312"/>
          <w:color w:val="auto"/>
          <w:sz w:val="32"/>
          <w:szCs w:val="32"/>
          <w:highlight w:val="none"/>
          <w:shd w:val="clear" w:color="auto" w:fill="auto"/>
          <w:lang w:eastAsia="zh-CN"/>
        </w:rPr>
        <w:t>申报</w:t>
      </w:r>
      <w:r>
        <w:rPr>
          <w:rFonts w:hint="eastAsia" w:ascii="仿宋_GB2312" w:hAnsi="仿宋_GB2312" w:cs="仿宋_GB2312"/>
          <w:color w:val="auto"/>
          <w:sz w:val="32"/>
          <w:szCs w:val="32"/>
          <w:highlight w:val="none"/>
          <w:vertAlign w:val="baseline"/>
          <w:lang w:val="en-US" w:eastAsia="zh-CN"/>
        </w:rPr>
        <w:t>资助</w:t>
      </w:r>
      <w:r>
        <w:rPr>
          <w:rFonts w:hint="eastAsia" w:ascii="仿宋_GB2312" w:hAnsi="仿宋_GB2312" w:cs="仿宋_GB2312"/>
          <w:color w:val="auto"/>
          <w:sz w:val="32"/>
          <w:szCs w:val="32"/>
          <w:highlight w:val="none"/>
          <w:shd w:val="clear" w:color="auto" w:fill="auto"/>
          <w:lang w:eastAsia="zh-CN"/>
        </w:rPr>
        <w:t>对象创业经历证明，如企业注册（法定代表人）或股权分配（股权占比30%以上）等材料</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strike w:val="0"/>
          <w:dstrike w:val="0"/>
          <w:color w:val="auto"/>
          <w:kern w:val="0"/>
          <w:sz w:val="32"/>
          <w:szCs w:val="32"/>
          <w:highlight w:val="none"/>
          <w:shd w:val="clear" w:color="auto" w:fill="auto"/>
          <w:lang w:val="en-US" w:eastAsia="zh-CN"/>
        </w:rPr>
        <w:t>原件彩色扫描成PDF文件上传</w:t>
      </w:r>
      <w:r>
        <w:rPr>
          <w:rFonts w:hint="eastAsia" w:ascii="仿宋_GB2312" w:hAnsi="仿宋_GB2312" w:cs="仿宋_GB2312"/>
          <w:color w:val="auto"/>
          <w:sz w:val="32"/>
          <w:szCs w:val="32"/>
          <w:highlight w:val="none"/>
          <w:lang w:val="en-US" w:eastAsia="zh-CN"/>
        </w:rPr>
        <w:t>）。</w:t>
      </w:r>
    </w:p>
    <w:p w14:paraId="1E81B021">
      <w:pPr>
        <w:pageBreakBefore w:val="0"/>
        <w:kinsoku/>
        <w:wordWrap/>
        <w:overflowPunct/>
        <w:topLinePunct w:val="0"/>
        <w:autoSpaceDE/>
        <w:autoSpaceDN/>
        <w:bidi w:val="0"/>
        <w:adjustRightInd/>
        <w:snapToGrid/>
        <w:spacing w:line="560" w:lineRule="exact"/>
        <w:ind w:firstLine="640" w:firstLineChars="200"/>
        <w:contextualSpacing/>
        <w:jc w:val="both"/>
        <w:textAlignment w:val="auto"/>
        <w:outlineLvl w:val="0"/>
        <w:rPr>
          <w:rFonts w:ascii="黑体" w:hAnsi="黑体" w:eastAsia="黑体" w:cs="黑体"/>
          <w:bCs/>
          <w:color w:val="auto"/>
          <w:kern w:val="2"/>
          <w:sz w:val="32"/>
          <w:szCs w:val="32"/>
          <w:highlight w:val="none"/>
          <w:lang w:eastAsia="zh-CN" w:bidi="ar-SA"/>
        </w:rPr>
      </w:pPr>
      <w:bookmarkStart w:id="9" w:name="_Toc338105134"/>
      <w:r>
        <w:rPr>
          <w:rFonts w:hint="eastAsia" w:ascii="黑体" w:hAnsi="黑体" w:eastAsia="黑体" w:cs="黑体"/>
          <w:bCs/>
          <w:color w:val="auto"/>
          <w:kern w:val="2"/>
          <w:sz w:val="32"/>
          <w:szCs w:val="32"/>
          <w:highlight w:val="none"/>
          <w:lang w:eastAsia="zh-CN" w:bidi="ar-SA"/>
        </w:rPr>
        <w:t>八、</w:t>
      </w:r>
      <w:r>
        <w:rPr>
          <w:rFonts w:hint="eastAsia" w:ascii="黑体" w:hAnsi="黑体" w:eastAsia="黑体"/>
          <w:bCs/>
          <w:color w:val="auto"/>
          <w:sz w:val="32"/>
          <w:szCs w:val="32"/>
          <w:highlight w:val="none"/>
          <w:lang w:eastAsia="zh-CN"/>
        </w:rPr>
        <w:t>申报时间和办理要求</w:t>
      </w:r>
      <w:bookmarkEnd w:id="9"/>
    </w:p>
    <w:p w14:paraId="639755B1">
      <w:pPr>
        <w:pageBreakBefore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本支持行动长期开放申报，分批受理审核。</w:t>
      </w:r>
    </w:p>
    <w:p w14:paraId="60826835">
      <w:pPr>
        <w:pageBreakBefore w:val="0"/>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申报主体需按照</w:t>
      </w:r>
      <w:r>
        <w:rPr>
          <w:rFonts w:hint="eastAsia" w:ascii="仿宋_GB2312" w:hAnsi="仿宋_GB2312" w:eastAsia="仿宋_GB2312" w:cs="仿宋_GB2312"/>
          <w:color w:val="auto"/>
          <w:kern w:val="2"/>
          <w:sz w:val="32"/>
          <w:szCs w:val="32"/>
          <w:highlight w:val="none"/>
          <w:shd w:val="clear" w:color="auto" w:fill="auto"/>
          <w:lang w:val="en-US" w:eastAsia="zh-CN" w:bidi="ar-SA"/>
        </w:rPr>
        <w:t>区工业和信息化局</w:t>
      </w:r>
      <w:r>
        <w:rPr>
          <w:rFonts w:hint="eastAsia" w:ascii="仿宋_GB2312" w:eastAsia="仿宋_GB2312"/>
          <w:color w:val="auto"/>
          <w:sz w:val="32"/>
          <w:szCs w:val="32"/>
          <w:highlight w:val="none"/>
          <w:lang w:eastAsia="zh-CN"/>
        </w:rPr>
        <w:t>相关通知要求办理资金拨付手续。</w:t>
      </w:r>
    </w:p>
    <w:p w14:paraId="21304D63">
      <w:pPr>
        <w:pageBreakBefore w:val="0"/>
        <w:kinsoku/>
        <w:wordWrap/>
        <w:overflowPunct/>
        <w:topLinePunct w:val="0"/>
        <w:autoSpaceDE/>
        <w:autoSpaceDN/>
        <w:bidi w:val="0"/>
        <w:adjustRightInd/>
        <w:snapToGrid/>
        <w:spacing w:after="0" w:line="560" w:lineRule="exact"/>
        <w:ind w:firstLine="640" w:firstLineChars="200"/>
        <w:contextualSpacing/>
        <w:jc w:val="both"/>
        <w:textAlignment w:val="auto"/>
        <w:outlineLvl w:val="0"/>
        <w:rPr>
          <w:rFonts w:ascii="黑体" w:hAnsi="黑体" w:eastAsia="黑体" w:cs="黑体"/>
          <w:bCs/>
          <w:color w:val="auto"/>
          <w:kern w:val="2"/>
          <w:sz w:val="32"/>
          <w:szCs w:val="32"/>
          <w:highlight w:val="none"/>
          <w:lang w:eastAsia="zh-CN" w:bidi="ar-SA"/>
        </w:rPr>
      </w:pPr>
      <w:bookmarkStart w:id="10" w:name="_Toc1174034558"/>
      <w:bookmarkStart w:id="11" w:name="_Toc626441842"/>
      <w:bookmarkStart w:id="12" w:name="_Toc1255384387"/>
      <w:bookmarkStart w:id="13" w:name="_Toc1992287578"/>
      <w:bookmarkStart w:id="14" w:name="_Toc125121025"/>
      <w:bookmarkStart w:id="15" w:name="_Toc433423341"/>
      <w:bookmarkStart w:id="16" w:name="_Toc832546851"/>
      <w:bookmarkStart w:id="17" w:name="_Toc1639866578"/>
      <w:r>
        <w:rPr>
          <w:rFonts w:hint="eastAsia" w:ascii="黑体" w:hAnsi="黑体" w:eastAsia="黑体" w:cs="黑体"/>
          <w:bCs/>
          <w:color w:val="auto"/>
          <w:kern w:val="2"/>
          <w:sz w:val="32"/>
          <w:szCs w:val="32"/>
          <w:highlight w:val="none"/>
          <w:lang w:eastAsia="zh-CN" w:bidi="ar-SA"/>
        </w:rPr>
        <w:t>九、附则</w:t>
      </w:r>
      <w:bookmarkEnd w:id="10"/>
      <w:bookmarkEnd w:id="11"/>
      <w:bookmarkEnd w:id="12"/>
      <w:bookmarkEnd w:id="13"/>
      <w:bookmarkEnd w:id="14"/>
      <w:bookmarkEnd w:id="15"/>
      <w:bookmarkEnd w:id="16"/>
      <w:bookmarkEnd w:id="17"/>
    </w:p>
    <w:p w14:paraId="25955DBB">
      <w:pPr>
        <w:keepNext w:val="0"/>
        <w:keepLines w:val="0"/>
        <w:widowControl w:val="0"/>
        <w:numPr>
          <w:ilvl w:val="0"/>
          <w:numId w:val="0"/>
        </w:numPr>
        <w:adjustRightInd/>
        <w:snapToGrid/>
        <w:spacing w:after="0" w:line="560" w:lineRule="exact"/>
        <w:ind w:firstLine="640" w:firstLineChars="200"/>
        <w:jc w:val="both"/>
        <w:rPr>
          <w:rFonts w:hint="eastAsia" w:ascii="仿宋_GB2312" w:hAnsi="仿宋" w:eastAsia="仿宋_GB2312"/>
          <w:color w:val="auto"/>
          <w:sz w:val="32"/>
          <w:szCs w:val="32"/>
          <w:highlight w:val="none"/>
          <w:lang w:eastAsia="zh-CN"/>
        </w:rPr>
      </w:pPr>
      <w:bookmarkStart w:id="18" w:name="_Toc987770563"/>
      <w:bookmarkStart w:id="19" w:name="_Toc154036947"/>
      <w:bookmarkStart w:id="20" w:name="_Toc47546013"/>
      <w:bookmarkStart w:id="21" w:name="_Toc430729383"/>
      <w:bookmarkStart w:id="22" w:name="_Toc196215586"/>
      <w:bookmarkStart w:id="23" w:name="_Toc1689997827"/>
      <w:bookmarkStart w:id="24" w:name="_Toc608226554"/>
      <w:r>
        <w:rPr>
          <w:rFonts w:eastAsia="仿宋_GB2312"/>
          <w:color w:val="auto"/>
          <w:sz w:val="32"/>
          <w:szCs w:val="32"/>
          <w:highlight w:val="none"/>
          <w:lang w:eastAsia="zh-CN"/>
        </w:rPr>
        <w:t>本</w:t>
      </w:r>
      <w:r>
        <w:rPr>
          <w:rFonts w:hint="eastAsia" w:eastAsia="仿宋_GB2312"/>
          <w:color w:val="auto"/>
          <w:sz w:val="32"/>
          <w:szCs w:val="32"/>
          <w:highlight w:val="none"/>
          <w:lang w:val="en-US" w:eastAsia="zh-CN"/>
        </w:rPr>
        <w:t>行动</w:t>
      </w:r>
      <w:r>
        <w:rPr>
          <w:rFonts w:hint="eastAsia" w:eastAsia="仿宋_GB2312"/>
          <w:color w:val="auto"/>
          <w:sz w:val="32"/>
          <w:szCs w:val="32"/>
          <w:highlight w:val="none"/>
          <w:lang w:eastAsia="zh-CN"/>
        </w:rPr>
        <w:t>牵头</w:t>
      </w:r>
      <w:r>
        <w:rPr>
          <w:rFonts w:eastAsia="仿宋_GB2312"/>
          <w:color w:val="auto"/>
          <w:sz w:val="32"/>
          <w:szCs w:val="32"/>
          <w:highlight w:val="none"/>
          <w:lang w:eastAsia="zh-CN"/>
        </w:rPr>
        <w:t>部门为南山区</w:t>
      </w:r>
      <w:r>
        <w:rPr>
          <w:rFonts w:hint="eastAsia" w:eastAsia="仿宋_GB2312"/>
          <w:color w:val="auto"/>
          <w:sz w:val="32"/>
          <w:szCs w:val="32"/>
          <w:highlight w:val="none"/>
          <w:lang w:eastAsia="zh-CN"/>
        </w:rPr>
        <w:t>人才工作局</w:t>
      </w:r>
      <w:r>
        <w:rPr>
          <w:rFonts w:eastAsia="仿宋_GB2312"/>
          <w:color w:val="auto"/>
          <w:sz w:val="32"/>
          <w:szCs w:val="32"/>
          <w:highlight w:val="none"/>
          <w:lang w:eastAsia="zh-CN"/>
        </w:rPr>
        <w:t>，</w:t>
      </w:r>
      <w:r>
        <w:rPr>
          <w:rFonts w:hint="eastAsia" w:eastAsia="仿宋_GB2312"/>
          <w:color w:val="auto"/>
          <w:sz w:val="32"/>
          <w:szCs w:val="32"/>
          <w:highlight w:val="none"/>
          <w:lang w:eastAsia="zh-CN"/>
        </w:rPr>
        <w:t>执行部门为区工业和信息化局，</w:t>
      </w:r>
      <w:r>
        <w:rPr>
          <w:rFonts w:hint="eastAsia" w:ascii="仿宋_GB2312" w:hAnsi="仿宋" w:eastAsia="仿宋_GB2312"/>
          <w:color w:val="auto"/>
          <w:sz w:val="32"/>
          <w:szCs w:val="32"/>
          <w:highlight w:val="none"/>
          <w:lang w:eastAsia="zh-CN"/>
        </w:rPr>
        <w:t>本操作规程由区工业和信息化局负责解释，自发布之日起施行。</w:t>
      </w:r>
      <w:bookmarkEnd w:id="18"/>
      <w:bookmarkEnd w:id="19"/>
      <w:bookmarkEnd w:id="20"/>
      <w:bookmarkEnd w:id="21"/>
      <w:bookmarkEnd w:id="22"/>
      <w:bookmarkEnd w:id="23"/>
      <w:bookmarkEnd w:id="24"/>
    </w:p>
    <w:p w14:paraId="062FC5A6">
      <w:pPr>
        <w:keepNext w:val="0"/>
        <w:keepLines w:val="0"/>
        <w:widowControl w:val="0"/>
        <w:numPr>
          <w:ilvl w:val="0"/>
          <w:numId w:val="0"/>
        </w:numPr>
        <w:adjustRightInd/>
        <w:snapToGrid/>
        <w:spacing w:line="560" w:lineRule="exact"/>
        <w:ind w:firstLine="643" w:firstLineChars="200"/>
        <w:jc w:val="both"/>
      </w:pPr>
      <w:r>
        <w:rPr>
          <w:rFonts w:hint="eastAsia" w:ascii="仿宋_GB2312" w:hAnsi="仿宋" w:eastAsia="仿宋_GB2312"/>
          <w:b/>
          <w:bCs/>
          <w:color w:val="auto"/>
          <w:sz w:val="32"/>
          <w:szCs w:val="32"/>
          <w:highlight w:val="none"/>
          <w:lang w:val="en-US" w:eastAsia="zh-CN"/>
        </w:rPr>
        <w:t>联系方式：</w:t>
      </w:r>
      <w:r>
        <w:rPr>
          <w:rFonts w:hint="eastAsia" w:ascii="仿宋_GB2312" w:hAnsi="仿宋_GB2312" w:eastAsia="仿宋_GB2312" w:cs="仿宋_GB2312"/>
          <w:color w:val="auto"/>
          <w:kern w:val="2"/>
          <w:sz w:val="32"/>
          <w:szCs w:val="32"/>
          <w:highlight w:val="none"/>
          <w:lang w:val="en-US" w:eastAsia="zh-CN" w:bidi="ar-SA"/>
        </w:rPr>
        <w:t>高赫（区工业和信息化局）18566245084</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ahoma">
    <w:panose1 w:val="020B08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Calibri Light">
    <w:altName w:val="Helvetica Neue"/>
    <w:panose1 w:val="020F0302020204030204"/>
    <w:charset w:val="00"/>
    <w:family w:val="swiss"/>
    <w:pitch w:val="default"/>
    <w:sig w:usb0="00000000" w:usb1="00000000" w:usb2="00000000" w:usb3="00000000" w:csb0="2000019F" w:csb1="00000000"/>
  </w:font>
  <w:font w:name="方正小标宋_GBK">
    <w:altName w:val="汉仪书宋二KW"/>
    <w:panose1 w:val="02000000000000000000"/>
    <w:charset w:val="86"/>
    <w:family w:val="auto"/>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汉仪旗黑">
    <w:panose1 w:val="00020600040101010101"/>
    <w:charset w:val="86"/>
    <w:family w:val="auto"/>
    <w:pitch w:val="default"/>
    <w:sig w:usb0="A00002BF" w:usb1="1ACF7CFA" w:usb2="00000016"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7BF1D7F"/>
    <w:rsid w:val="87BF1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5">
    <w:name w:val="heading 1"/>
    <w:basedOn w:val="1"/>
    <w:next w:val="1"/>
    <w:qFormat/>
    <w:uiPriority w:val="99"/>
    <w:pPr>
      <w:keepNext/>
      <w:keepLines/>
      <w:spacing w:line="360" w:lineRule="auto"/>
      <w:jc w:val="center"/>
      <w:outlineLvl w:val="0"/>
    </w:pPr>
    <w:rPr>
      <w:rFonts w:eastAsia="黑体"/>
      <w:kern w:val="44"/>
      <w:sz w:val="44"/>
      <w:szCs w:val="44"/>
      <w:lang w:val="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next w:val="4"/>
    <w:unhideWhenUsed/>
    <w:qFormat/>
    <w:uiPriority w:val="99"/>
    <w:pPr>
      <w:spacing w:after="120"/>
    </w:pPr>
  </w:style>
  <w:style w:type="paragraph" w:styleId="4">
    <w:name w:val="Title"/>
    <w:basedOn w:val="1"/>
    <w:next w:val="1"/>
    <w:qFormat/>
    <w:uiPriority w:val="0"/>
    <w:pPr>
      <w:spacing w:before="240" w:after="60"/>
      <w:jc w:val="center"/>
      <w:outlineLvl w:val="0"/>
    </w:pPr>
    <w:rPr>
      <w:rFonts w:ascii="Calibri Light" w:hAnsi="Calibri Light" w:eastAsia="宋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2025-11-18T12:44:00Z</dcterms:created>
  <dc:creator>GXL</dc:creator>
  <cp:lastModifiedBy>GXL</cp:lastModifiedBy>
  <dcterms:modified xsi:type="dcterms:W3CDTF">2025-11-18T12:45:49Z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FC76E20DDAACA51BBBF91B698D352630_41</vt:lpwstr>
  </property>
</Properties>
</file>