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pacing w:val="-20"/>
          <w:sz w:val="44"/>
          <w:szCs w:val="28"/>
          <w:highlight w:val="none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auto"/>
          <w:spacing w:val="-20"/>
          <w:sz w:val="44"/>
          <w:szCs w:val="28"/>
          <w:highlight w:val="none"/>
        </w:rPr>
        <w:t>南山区促进产业高质量发展专项资金——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pacing w:val="-20"/>
          <w:sz w:val="44"/>
          <w:szCs w:val="28"/>
          <w:highlight w:val="none"/>
        </w:rPr>
      </w:pPr>
      <w:r>
        <w:rPr>
          <w:rFonts w:hint="eastAsia" w:ascii="方正小标宋简体" w:hAnsi="仿宋_GB2312" w:eastAsia="方正小标宋简体" w:cs="仿宋_GB2312"/>
          <w:color w:val="auto"/>
          <w:spacing w:val="-20"/>
          <w:sz w:val="44"/>
          <w:szCs w:val="28"/>
          <w:highlight w:val="none"/>
        </w:rPr>
        <w:t>区人力资源局分项资金—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95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-20"/>
          <w:w w:val="100"/>
          <w:sz w:val="44"/>
          <w:szCs w:val="44"/>
          <w:highlight w:val="none"/>
          <w:lang w:val="en-US" w:eastAsia="zh-CN"/>
        </w:rPr>
        <w:t>人力资源服务机构发展贡献奖项目操作规程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区人力资源局，依据《南山区促进产业高质量发展专项资金管理办法》等文件规定，制定本操作规程。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政策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内容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鼓励优质人力资源服务机构在南山发展，对年度营业收入达到一定规模的机构给予一次性奖励。每家机构最高奖励不超过100万元。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highlight w:val="none"/>
        </w:rPr>
        <w:t>二、资助方式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本项资助属于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核准</w:t>
      </w:r>
      <w:r>
        <w:rPr>
          <w:rFonts w:hint="eastAsia" w:eastAsia="仿宋_GB2312"/>
          <w:color w:val="auto"/>
          <w:sz w:val="32"/>
          <w:szCs w:val="32"/>
          <w:highlight w:val="none"/>
        </w:rPr>
        <w:t>类项目，资助资金的安排使用坚持公平、公开、公正的原则，实行自愿申报、科学决策和绩效评估的管理制度，采取无偿资助方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</w:rPr>
        <w:t>式和事后补贴制</w:t>
      </w:r>
      <w:r>
        <w:rPr>
          <w:rFonts w:hint="eastAsia" w:eastAsia="仿宋_GB2312"/>
          <w:color w:val="auto"/>
          <w:sz w:val="32"/>
          <w:szCs w:val="32"/>
          <w:highlight w:val="none"/>
        </w:rPr>
        <w:t>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本项资助受年度资金预算控制，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eastAsia="仿宋_GB2312"/>
          <w:color w:val="auto"/>
          <w:sz w:val="32"/>
          <w:szCs w:val="32"/>
          <w:highlight w:val="none"/>
        </w:rPr>
        <w:t>视申报情况和预算安排，据以对资助金额、支持比例和拨付进度等进行统一调整，申报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主体</w:t>
      </w:r>
      <w:r>
        <w:rPr>
          <w:rFonts w:hint="eastAsia" w:eastAsia="仿宋_GB2312"/>
          <w:color w:val="auto"/>
          <w:sz w:val="32"/>
          <w:szCs w:val="32"/>
          <w:highlight w:val="none"/>
        </w:rPr>
        <w:t>应无条件同意调整结果。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资助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标准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年起，年度服务规模达到3000人次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，且年度营业收入突破5000万元、1亿元、2亿元、5亿元、10亿元、20亿元、50亿元的，分别给予10万元、15万元、20万元、30万元、45万元、70万元、100万元的一次性奖励，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每家机构每一台阶不重复奖励，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每上一个台阶可按差额补足相应奖励。每家机构最高奖励不超过100万元。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eastAsia" w:hAnsi="黑体" w:eastAsia="黑体"/>
          <w:color w:val="auto"/>
          <w:sz w:val="32"/>
          <w:szCs w:val="32"/>
          <w:highlight w:val="none"/>
        </w:rPr>
        <w:t>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申请本项资金资助的机构应符合以下基本条件：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在南山区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依法从事实际经营、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取得人力资源服务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（备案）凭证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劳务派遣经营许可证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在南山区依法纳税的人力资源服务机构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2.履行相关数据申报义务、守法经营、诚实守信、有规范的财务管理制度；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3.应积极配合区委、区政府相关工作。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主营业务为人力资源服务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占公司营收总额50%（不含）以上；上一年度机构营业收入达5000万元（含）以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（三）有下列情况之一的，本项目资金不予资助：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1.被依法依规纳入严重失信主体名单或失信惩戒措施清单的；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2.提出资助申请后，申报主体项目实施地或数据申报地发生变化，不再符合申报条件的；</w:t>
      </w:r>
    </w:p>
    <w:p>
      <w:pPr>
        <w:pStyle w:val="1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3.同类政策不重复受理申报。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eastAsia" w:hAnsi="黑体" w:eastAsia="黑体"/>
          <w:color w:val="auto"/>
          <w:sz w:val="32"/>
          <w:szCs w:val="32"/>
          <w:highlight w:val="none"/>
          <w:lang w:eastAsia="zh-CN"/>
        </w:rPr>
        <w:t>办理流程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）企业登录“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i南山企业服务综合平台”（https://www.inanshan.org.cn/）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在线填写《南山区促进产业高质量发展专项资金——区人力资源局分项资金—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人力资源服务机构发展贡献奖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项目操作规程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区人力资源局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根据企业确认情况拟定项目资助计划；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（三）区统计局对申报主体数据申报情况进行核查，区企业发展服务中心组织对申报主体的在地经营情况、不良信用记录等情况进行核查；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（四）区企业服务中心将项目资助计划向社会公示5个工作日，对公示期满，无有效投诉的项目资助计划，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区人力资源局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按照相应审核程序提交审批；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（五）经审议后，由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区人力资源局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行文下达资金计划；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（六）申报主体线上提交加盖单位财务专用章的收据；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（七）区财政部门及时安排资金，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区人力资源局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对受理项目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办理资金拨付手续。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六、所需材料</w:t>
      </w:r>
    </w:p>
    <w:p>
      <w:pPr>
        <w:pStyle w:val="1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（一）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《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南山区促进产业高质量发展专项资金——区人力资源局分项资金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人力资源服务发展贡献奖项目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书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（登录“i南山企业服务综合平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https://www.inanshan.org.cn/）在线填写，法定代表人签字并加盖单位公章）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基本资质材料：1.社会统一信用代码证书；2.人力资源服务许可（备案）凭证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或劳务派遣经营许可证；3.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由税务部门开具的单位上年度纳税证明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（三）经营情况证明材料：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1.提供人力资源服务的清单（须包含企业名称、服务时间、内容、参加人数并加盖服务企业公章）；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2.上年度的财务审计报告（财务审计报告中需体现人力资源营收占比50%以上，或由专业机构出具的相关证明材料作为佐证）。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（四）《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承诺书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签字并加盖单位公章）。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default" w:ascii="仿宋_GB2312" w:hAnsi="΢���ź�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΢���ź�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default" w:ascii="仿宋_GB2312" w:hAnsi="΢���ź�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΢���ź�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其他补充资料。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本项目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无需提交纸质材料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，所有材料均需加盖单位公章彩色扫描成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PDF文件上传。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</w:rPr>
        <w:t>七、时限要求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（一）区人力资源局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视申请情况安排集中受理企业申请，具体受理时间以发布的申报通知为准。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相关通知要求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资金拨付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，逾期不办理者视为自动放弃。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执行期间如遇国家、省、市有关政策调整的，根据新政策做相应调整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申请本项目资助的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应保证其申报材料的完整性、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真实性、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准确性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及合法性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并承担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提交的项目申报材料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</w:rPr>
        <w:t>九、附则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本项目责任部门为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操作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规程由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负责解释，自发布之日起施行。</w:t>
      </w:r>
    </w:p>
    <w:sectPr>
      <w:footerReference r:id="rId3" w:type="default"/>
      <w:pgSz w:w="11906" w:h="16838"/>
      <w:pgMar w:top="2098" w:right="1474" w:bottom="1984" w:left="1587" w:header="851" w:footer="119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华文仿宋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΢���ź�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3+Jy3KAQAAfgMAAA4AAABkcnMv&#10;ZTJvRG9jLnhtbK1TTa7TMBDeI3EHy3uatBK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myXj3NHRpC&#10;bKjwPlBpGl/A2PKEBzWnIsWz9lGjy19SxaiE2n26tliNiUkKLter9bqmlKTc7NAT1cP1gDG9UuBY&#10;NlqONMPSWnF8E9NUOpfk1zzcGWvLHK3/LUCYOVJl+hPHbKVxN1407aA7kSRaX3qnB/zE2UCr0HJP&#10;u8qZfe2p03lrZgNnYzcbwku6SP3gbDJfJvK0sJEADgHNvifsyc/kYnh+SMS4CMl0Jg4XljTk0orL&#10;QuYt+tUvVQ+/zfY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G3+Jy3KAQAAfg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81326"/>
    <w:rsid w:val="09BE4364"/>
    <w:rsid w:val="18636858"/>
    <w:rsid w:val="18C43411"/>
    <w:rsid w:val="1BCC34D0"/>
    <w:rsid w:val="1CED1069"/>
    <w:rsid w:val="1DF31705"/>
    <w:rsid w:val="1F710D71"/>
    <w:rsid w:val="215D76CB"/>
    <w:rsid w:val="286D5FD6"/>
    <w:rsid w:val="3263230B"/>
    <w:rsid w:val="380120BE"/>
    <w:rsid w:val="38651CCB"/>
    <w:rsid w:val="3AE77F14"/>
    <w:rsid w:val="3B8D2280"/>
    <w:rsid w:val="3D5C3A0F"/>
    <w:rsid w:val="3DEB0EC4"/>
    <w:rsid w:val="46226F7D"/>
    <w:rsid w:val="47E744AA"/>
    <w:rsid w:val="62D02854"/>
    <w:rsid w:val="66B15F58"/>
    <w:rsid w:val="7B27F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11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标题 字符"/>
    <w:link w:val="8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5">
    <w:name w:val="No Spacing_f0065b44-984c-4326-aae1-4197f2f7b789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16">
    <w:name w:val="No Spacing"/>
    <w:qFormat/>
    <w:uiPriority w:val="1"/>
    <w:rPr>
      <w:rFonts w:ascii="Cambria" w:hAnsi="Cambria" w:eastAsia="宋体" w:cs="Times New Roman"/>
      <w:sz w:val="22"/>
      <w:szCs w:val="22"/>
      <w:lang w:val="en-US" w:eastAsia="en-US" w:bidi="ar-SA"/>
    </w:rPr>
  </w:style>
  <w:style w:type="paragraph" w:customStyle="1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1757</Words>
  <Characters>1856</Characters>
  <Lines>20</Lines>
  <Paragraphs>5</Paragraphs>
  <TotalTime>0</TotalTime>
  <ScaleCrop>false</ScaleCrop>
  <LinksUpToDate>false</LinksUpToDate>
  <CharactersWithSpaces>1856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2023-02-03T18:10:00Z</dcterms:created>
  <dc:creator>Administrator</dc:creator>
  <cp:lastModifiedBy>melon</cp:lastModifiedBy>
  <cp:lastPrinted>2025-07-01T15:22:14Z</cp:lastPrinted>
  <dcterms:modified xsi:type="dcterms:W3CDTF">2025-11-20T14:17:08Z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324F3A65DFCA43F58FC0874A79A8641B_13</vt:lpwstr>
  </property>
  <property fmtid="{D5CDD505-2E9C-101B-9397-08002B2CF9AE}" pid="4" name="KSOTemplateDocerSaveRecord">
    <vt:lpwstr>eyJoZGlkIjoiZGE1NjNmZTQwODNjNzYxMDYzZDhjNjVhOTBjNDE3NDEiLCJ1c2VySWQiOiIzMjk4MDg5NzIifQ==</vt:lpwstr>
  </property>
</Properties>
</file>