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25CEB">
      <w:pPr>
        <w:pStyle w:val="4"/>
        <w:keepNext w:val="0"/>
        <w:keepLines w:val="0"/>
        <w:pageBreakBefore w:val="0"/>
        <w:kinsoku/>
        <w:overflowPunct/>
        <w:topLinePunct w:val="0"/>
        <w:autoSpaceDE/>
        <w:bidi w:val="0"/>
        <w:adjustRightInd/>
        <w:snapToGrid/>
        <w:spacing w:before="0" w:beforeAutospacing="0" w:after="0" w:afterAutospacing="0" w:line="600" w:lineRule="exact"/>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附件3</w:t>
      </w:r>
    </w:p>
    <w:p w14:paraId="5ED70A2D">
      <w:pPr>
        <w:keepNext w:val="0"/>
        <w:keepLines w:val="0"/>
        <w:pageBreakBefore w:val="0"/>
        <w:kinsoku/>
        <w:overflowPunct/>
        <w:topLinePunct w:val="0"/>
        <w:autoSpaceDE/>
        <w:bidi w:val="0"/>
        <w:adjustRightInd/>
        <w:snapToGrid/>
        <w:spacing w:line="600" w:lineRule="exact"/>
        <w:ind w:firstLine="880"/>
        <w:jc w:val="center"/>
        <w:rPr>
          <w:rFonts w:hint="default" w:ascii="Times New Roman" w:hAnsi="Times New Roman" w:eastAsia="方正小标宋简体" w:cs="Times New Roman"/>
          <w:color w:val="auto"/>
          <w:sz w:val="44"/>
          <w:szCs w:val="44"/>
          <w:highlight w:val="none"/>
        </w:rPr>
      </w:pPr>
    </w:p>
    <w:p w14:paraId="123731F0">
      <w:pPr>
        <w:keepNext w:val="0"/>
        <w:keepLines w:val="0"/>
        <w:pageBreakBefore w:val="0"/>
        <w:kinsoku/>
        <w:overflowPunct/>
        <w:topLinePunct w:val="0"/>
        <w:autoSpaceDE/>
        <w:bidi w:val="0"/>
        <w:adjustRightInd/>
        <w:snapToGrid/>
        <w:spacing w:line="600" w:lineRule="exact"/>
        <w:ind w:firstLine="880"/>
        <w:jc w:val="center"/>
        <w:rPr>
          <w:rFonts w:hint="default" w:ascii="Times New Roman" w:hAnsi="Times New Roman" w:eastAsia="方正小标宋简体" w:cs="Times New Roman"/>
          <w:color w:val="auto"/>
          <w:sz w:val="44"/>
          <w:szCs w:val="44"/>
          <w:highlight w:val="none"/>
        </w:rPr>
      </w:pPr>
      <w:bookmarkStart w:id="0" w:name="_GoBack"/>
      <w:r>
        <w:rPr>
          <w:rFonts w:hint="default" w:ascii="Times New Roman" w:hAnsi="Times New Roman" w:eastAsia="方正小标宋简体" w:cs="Times New Roman"/>
          <w:color w:val="auto"/>
          <w:sz w:val="44"/>
          <w:szCs w:val="44"/>
          <w:highlight w:val="none"/>
        </w:rPr>
        <w:t>合作数字化服务企业情况表</w:t>
      </w:r>
      <w:bookmarkEnd w:id="0"/>
    </w:p>
    <w:p w14:paraId="2BA8471A">
      <w:pPr>
        <w:keepNext w:val="0"/>
        <w:keepLines w:val="0"/>
        <w:pageBreakBefore w:val="0"/>
        <w:kinsoku/>
        <w:overflowPunct/>
        <w:topLinePunct w:val="0"/>
        <w:autoSpaceDE/>
        <w:bidi w:val="0"/>
        <w:adjustRightInd/>
        <w:snapToGrid/>
        <w:spacing w:line="600" w:lineRule="exact"/>
        <w:ind w:firstLine="600"/>
        <w:jc w:val="center"/>
        <w:rPr>
          <w:rFonts w:hint="default" w:ascii="Times New Roman" w:hAnsi="Times New Roman" w:cs="Times New Roman"/>
          <w:color w:val="auto"/>
          <w:sz w:val="30"/>
          <w:szCs w:val="20"/>
          <w:highlight w:val="none"/>
        </w:rPr>
      </w:pP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866"/>
        <w:gridCol w:w="970"/>
        <w:gridCol w:w="824"/>
        <w:gridCol w:w="1125"/>
        <w:gridCol w:w="813"/>
        <w:gridCol w:w="983"/>
        <w:gridCol w:w="1233"/>
        <w:gridCol w:w="996"/>
        <w:gridCol w:w="842"/>
      </w:tblGrid>
      <w:tr w14:paraId="71C2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blHeader/>
        </w:trPr>
        <w:tc>
          <w:tcPr>
            <w:tcW w:w="251" w:type="pct"/>
            <w:noWrap w:val="0"/>
            <w:vAlign w:val="center"/>
          </w:tcPr>
          <w:p w14:paraId="2E945307">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序号</w:t>
            </w:r>
          </w:p>
        </w:tc>
        <w:tc>
          <w:tcPr>
            <w:tcW w:w="475" w:type="pct"/>
            <w:noWrap w:val="0"/>
            <w:vAlign w:val="center"/>
          </w:tcPr>
          <w:p w14:paraId="0E5BA80A">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单位名称</w:t>
            </w:r>
          </w:p>
        </w:tc>
        <w:tc>
          <w:tcPr>
            <w:tcW w:w="532" w:type="pct"/>
            <w:noWrap w:val="0"/>
            <w:vAlign w:val="center"/>
          </w:tcPr>
          <w:p w14:paraId="0004C7DA">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生态角色</w:t>
            </w:r>
          </w:p>
        </w:tc>
        <w:tc>
          <w:tcPr>
            <w:tcW w:w="452" w:type="pct"/>
            <w:noWrap w:val="0"/>
            <w:vAlign w:val="center"/>
          </w:tcPr>
          <w:p w14:paraId="2E3BFBEB">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统一社会信用代码</w:t>
            </w:r>
          </w:p>
        </w:tc>
        <w:tc>
          <w:tcPr>
            <w:tcW w:w="617" w:type="pct"/>
            <w:noWrap w:val="0"/>
            <w:vAlign w:val="center"/>
          </w:tcPr>
          <w:p w14:paraId="63E0B40E">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202</w:t>
            </w:r>
            <w:r>
              <w:rPr>
                <w:rFonts w:hint="default" w:ascii="Times New Roman" w:hAnsi="Times New Roman" w:eastAsia="黑体" w:cs="Times New Roman"/>
                <w:color w:val="auto"/>
                <w:sz w:val="24"/>
                <w:highlight w:val="none"/>
                <w:lang w:val="en-US" w:eastAsia="zh-CN"/>
              </w:rPr>
              <w:t>4</w:t>
            </w:r>
            <w:r>
              <w:rPr>
                <w:rFonts w:hint="default" w:ascii="Times New Roman" w:hAnsi="Times New Roman" w:eastAsia="黑体" w:cs="Times New Roman"/>
                <w:color w:val="auto"/>
                <w:sz w:val="24"/>
                <w:highlight w:val="none"/>
              </w:rPr>
              <w:t>年营业收入（万元）</w:t>
            </w:r>
          </w:p>
        </w:tc>
        <w:tc>
          <w:tcPr>
            <w:tcW w:w="446" w:type="pct"/>
            <w:noWrap w:val="0"/>
            <w:vAlign w:val="center"/>
          </w:tcPr>
          <w:p w14:paraId="0FD88DBE">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在广州团队人数</w:t>
            </w:r>
          </w:p>
        </w:tc>
        <w:tc>
          <w:tcPr>
            <w:tcW w:w="539" w:type="pct"/>
            <w:noWrap w:val="0"/>
            <w:vAlign w:val="center"/>
          </w:tcPr>
          <w:p w14:paraId="1C1FBD2B">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主要产品/服务</w:t>
            </w:r>
          </w:p>
        </w:tc>
        <w:tc>
          <w:tcPr>
            <w:tcW w:w="676" w:type="pct"/>
            <w:noWrap w:val="0"/>
            <w:vAlign w:val="center"/>
          </w:tcPr>
          <w:p w14:paraId="78ECCBCB">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shd w:val="clear" w:color="auto" w:fill="FFFFFF"/>
              </w:rPr>
            </w:pPr>
            <w:r>
              <w:rPr>
                <w:rFonts w:hint="default" w:ascii="Times New Roman" w:hAnsi="Times New Roman" w:eastAsia="黑体" w:cs="Times New Roman"/>
                <w:color w:val="auto"/>
                <w:sz w:val="24"/>
                <w:highlight w:val="none"/>
                <w:shd w:val="clear" w:color="auto" w:fill="FFFFFF"/>
              </w:rPr>
              <w:t>获得的知识产权数量（含专利、软件著作权）</w:t>
            </w:r>
          </w:p>
        </w:tc>
        <w:tc>
          <w:tcPr>
            <w:tcW w:w="546" w:type="pct"/>
            <w:noWrap w:val="0"/>
            <w:vAlign w:val="center"/>
          </w:tcPr>
          <w:p w14:paraId="044735E0">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获得国家、省、市级相关荣誉资质</w:t>
            </w:r>
          </w:p>
        </w:tc>
        <w:tc>
          <w:tcPr>
            <w:tcW w:w="462" w:type="pct"/>
            <w:noWrap w:val="0"/>
            <w:vAlign w:val="center"/>
          </w:tcPr>
          <w:p w14:paraId="5F023C8C">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单位简介</w:t>
            </w:r>
          </w:p>
          <w:p w14:paraId="2694C471">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（100字以内）</w:t>
            </w:r>
          </w:p>
        </w:tc>
      </w:tr>
      <w:tr w14:paraId="7464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noWrap w:val="0"/>
            <w:vAlign w:val="center"/>
          </w:tcPr>
          <w:p w14:paraId="1CEFAF3A">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475" w:type="pct"/>
            <w:noWrap w:val="0"/>
            <w:vAlign w:val="center"/>
          </w:tcPr>
          <w:p w14:paraId="7672D865">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32" w:type="pct"/>
            <w:noWrap w:val="0"/>
            <w:vAlign w:val="center"/>
          </w:tcPr>
          <w:p w14:paraId="78EC050D">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数字化集成企业/产业生态企业</w:t>
            </w:r>
          </w:p>
        </w:tc>
        <w:tc>
          <w:tcPr>
            <w:tcW w:w="452" w:type="pct"/>
            <w:noWrap w:val="0"/>
            <w:vAlign w:val="center"/>
          </w:tcPr>
          <w:p w14:paraId="35CF6B0E">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617" w:type="pct"/>
            <w:noWrap w:val="0"/>
            <w:vAlign w:val="center"/>
          </w:tcPr>
          <w:p w14:paraId="5B95F75A">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46" w:type="pct"/>
            <w:noWrap w:val="0"/>
            <w:vAlign w:val="center"/>
          </w:tcPr>
          <w:p w14:paraId="7964F84C">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39" w:type="pct"/>
            <w:noWrap w:val="0"/>
            <w:vAlign w:val="center"/>
          </w:tcPr>
          <w:p w14:paraId="4D89B408">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676" w:type="pct"/>
            <w:noWrap w:val="0"/>
            <w:vAlign w:val="center"/>
          </w:tcPr>
          <w:p w14:paraId="391E0CA4">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46" w:type="pct"/>
            <w:noWrap w:val="0"/>
            <w:vAlign w:val="center"/>
          </w:tcPr>
          <w:p w14:paraId="410D9242">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62" w:type="pct"/>
            <w:noWrap w:val="0"/>
            <w:vAlign w:val="center"/>
          </w:tcPr>
          <w:p w14:paraId="339F9610">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r>
      <w:tr w14:paraId="308A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noWrap w:val="0"/>
            <w:vAlign w:val="center"/>
          </w:tcPr>
          <w:p w14:paraId="19CF5982">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475" w:type="pct"/>
            <w:noWrap w:val="0"/>
            <w:vAlign w:val="center"/>
          </w:tcPr>
          <w:p w14:paraId="740AB608">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32" w:type="pct"/>
            <w:noWrap w:val="0"/>
            <w:vAlign w:val="center"/>
          </w:tcPr>
          <w:p w14:paraId="649F55C7">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52" w:type="pct"/>
            <w:noWrap w:val="0"/>
            <w:vAlign w:val="center"/>
          </w:tcPr>
          <w:p w14:paraId="55C7E81C">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617" w:type="pct"/>
            <w:noWrap w:val="0"/>
            <w:vAlign w:val="center"/>
          </w:tcPr>
          <w:p w14:paraId="260214F0">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46" w:type="pct"/>
            <w:noWrap w:val="0"/>
            <w:vAlign w:val="center"/>
          </w:tcPr>
          <w:p w14:paraId="1E7D07DD">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39" w:type="pct"/>
            <w:noWrap w:val="0"/>
            <w:vAlign w:val="center"/>
          </w:tcPr>
          <w:p w14:paraId="1810BB8D">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676" w:type="pct"/>
            <w:noWrap w:val="0"/>
            <w:vAlign w:val="center"/>
          </w:tcPr>
          <w:p w14:paraId="0DD66A79">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46" w:type="pct"/>
            <w:noWrap w:val="0"/>
            <w:vAlign w:val="center"/>
          </w:tcPr>
          <w:p w14:paraId="36C75D58">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62" w:type="pct"/>
            <w:noWrap w:val="0"/>
            <w:vAlign w:val="center"/>
          </w:tcPr>
          <w:p w14:paraId="18775E48">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r>
      <w:tr w14:paraId="1229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noWrap w:val="0"/>
            <w:vAlign w:val="center"/>
          </w:tcPr>
          <w:p w14:paraId="02C48627">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75" w:type="pct"/>
            <w:noWrap w:val="0"/>
            <w:vAlign w:val="center"/>
          </w:tcPr>
          <w:p w14:paraId="7D88E49A">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32" w:type="pct"/>
            <w:noWrap w:val="0"/>
            <w:vAlign w:val="center"/>
          </w:tcPr>
          <w:p w14:paraId="007184B3">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52" w:type="pct"/>
            <w:noWrap w:val="0"/>
            <w:vAlign w:val="center"/>
          </w:tcPr>
          <w:p w14:paraId="58F835FC">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617" w:type="pct"/>
            <w:noWrap w:val="0"/>
            <w:vAlign w:val="center"/>
          </w:tcPr>
          <w:p w14:paraId="4D294243">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46" w:type="pct"/>
            <w:noWrap w:val="0"/>
            <w:vAlign w:val="center"/>
          </w:tcPr>
          <w:p w14:paraId="7F37BB6F">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39" w:type="pct"/>
            <w:noWrap w:val="0"/>
            <w:vAlign w:val="center"/>
          </w:tcPr>
          <w:p w14:paraId="62A1EBD2">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676" w:type="pct"/>
            <w:noWrap w:val="0"/>
            <w:vAlign w:val="center"/>
          </w:tcPr>
          <w:p w14:paraId="6BF7541E">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46" w:type="pct"/>
            <w:noWrap w:val="0"/>
            <w:vAlign w:val="center"/>
          </w:tcPr>
          <w:p w14:paraId="56A35B3E">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62" w:type="pct"/>
            <w:noWrap w:val="0"/>
            <w:vAlign w:val="center"/>
          </w:tcPr>
          <w:p w14:paraId="4A4F628B">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r>
      <w:tr w14:paraId="3A94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noWrap w:val="0"/>
            <w:vAlign w:val="center"/>
          </w:tcPr>
          <w:p w14:paraId="618AAF8F">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75" w:type="pct"/>
            <w:noWrap w:val="0"/>
            <w:vAlign w:val="center"/>
          </w:tcPr>
          <w:p w14:paraId="0A48D00A">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32" w:type="pct"/>
            <w:noWrap w:val="0"/>
            <w:vAlign w:val="center"/>
          </w:tcPr>
          <w:p w14:paraId="67DB9526">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52" w:type="pct"/>
            <w:noWrap w:val="0"/>
            <w:vAlign w:val="center"/>
          </w:tcPr>
          <w:p w14:paraId="15E0DD85">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617" w:type="pct"/>
            <w:noWrap w:val="0"/>
            <w:vAlign w:val="center"/>
          </w:tcPr>
          <w:p w14:paraId="73CAF4A2">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46" w:type="pct"/>
            <w:noWrap w:val="0"/>
            <w:vAlign w:val="center"/>
          </w:tcPr>
          <w:p w14:paraId="71B525E7">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39" w:type="pct"/>
            <w:noWrap w:val="0"/>
            <w:vAlign w:val="center"/>
          </w:tcPr>
          <w:p w14:paraId="72182BCA">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676" w:type="pct"/>
            <w:noWrap w:val="0"/>
            <w:vAlign w:val="center"/>
          </w:tcPr>
          <w:p w14:paraId="30D7E3D2">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46" w:type="pct"/>
            <w:noWrap w:val="0"/>
            <w:vAlign w:val="center"/>
          </w:tcPr>
          <w:p w14:paraId="2A3601C0">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62" w:type="pct"/>
            <w:noWrap w:val="0"/>
            <w:vAlign w:val="center"/>
          </w:tcPr>
          <w:p w14:paraId="1E6F0B32">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r>
    </w:tbl>
    <w:p w14:paraId="775E7CDC">
      <w:pPr>
        <w:keepNext w:val="0"/>
        <w:keepLines w:val="0"/>
        <w:pageBreakBefore w:val="0"/>
        <w:kinsoku/>
        <w:overflowPunct/>
        <w:topLinePunct w:val="0"/>
        <w:autoSpaceDE/>
        <w:bidi w:val="0"/>
        <w:adjustRightInd/>
        <w:snapToGrid/>
        <w:spacing w:after="140" w:line="600" w:lineRule="exact"/>
        <w:ind w:firstLine="482"/>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highlight w:val="none"/>
        </w:rPr>
        <w:t>注：1.数字化集成企业包括但不限于行业系统集成解决方案商等具备数字化供给能力的企业，电信运营企业、工业互联网平台等具备共性底座能力的企业；2.产业生态企业包括但不限于专业软硬件企业、产业链生态企业等；3.附件5、附件6中提供数字化产品和服务、细分行业服务案例的合作数字化服务企业须为附件3 合作数字化服务企业情况表中填报的企业，且需要与申报单位签订合作协议书（可参考附件4）</w:t>
      </w:r>
    </w:p>
    <w:p w14:paraId="3B1B48C8">
      <w:pPr>
        <w:pStyle w:val="7"/>
        <w:keepNext w:val="0"/>
        <w:keepLines w:val="0"/>
        <w:pageBreakBefore w:val="0"/>
        <w:kinsoku/>
        <w:overflowPunct/>
        <w:topLinePunct w:val="0"/>
        <w:autoSpaceDE/>
        <w:bidi w:val="0"/>
        <w:adjustRightInd/>
        <w:snapToGrid/>
        <w:spacing w:after="0" w:line="600" w:lineRule="exact"/>
        <w:ind w:firstLine="210"/>
        <w:rPr>
          <w:rFonts w:hint="default" w:ascii="Times New Roman" w:hAnsi="Times New Roman" w:eastAsia="楷体_GB2312" w:cs="Times New Roman"/>
          <w:color w:val="auto"/>
          <w:highlight w:val="none"/>
        </w:rPr>
        <w:sectPr>
          <w:headerReference r:id="rId5" w:type="first"/>
          <w:headerReference r:id="rId3" w:type="default"/>
          <w:footerReference r:id="rId6" w:type="default"/>
          <w:headerReference r:id="rId4" w:type="even"/>
          <w:footerReference r:id="rId7" w:type="even"/>
          <w:pgSz w:w="11906" w:h="16838" w:orient="landscape"/>
          <w:pgMar w:top="1587" w:right="1474" w:bottom="1587" w:left="1531" w:header="851" w:footer="1417" w:gutter="0"/>
          <w:cols w:space="720" w:num="1"/>
          <w:rtlGutter w:val="0"/>
          <w:docGrid w:type="lines" w:linePitch="312" w:charSpace="0"/>
        </w:sectPr>
      </w:pPr>
    </w:p>
    <w:p w14:paraId="186ECD77"/>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C9B8">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3</w:t>
    </w:r>
    <w:r>
      <w:rPr>
        <w:rStyle w:val="11"/>
        <w:sz w:val="28"/>
        <w:szCs w:val="28"/>
      </w:rPr>
      <w:fldChar w:fldCharType="end"/>
    </w:r>
    <w:r>
      <w:rPr>
        <w:rStyle w:val="11"/>
        <w:rFonts w:hint="eastAsia"/>
        <w:sz w:val="28"/>
        <w:szCs w:val="28"/>
      </w:rPr>
      <w:t xml:space="preserve"> —</w:t>
    </w:r>
  </w:p>
  <w:p w14:paraId="0D759B6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AF122">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2</w:t>
    </w:r>
    <w:r>
      <w:rPr>
        <w:rStyle w:val="11"/>
        <w:sz w:val="28"/>
        <w:szCs w:val="28"/>
      </w:rPr>
      <w:fldChar w:fldCharType="end"/>
    </w:r>
    <w:r>
      <w:rPr>
        <w:rStyle w:val="11"/>
        <w:rFonts w:hint="eastAsia"/>
        <w:sz w:val="28"/>
        <w:szCs w:val="28"/>
      </w:rPr>
      <w:t xml:space="preserve"> —</w:t>
    </w:r>
  </w:p>
  <w:p w14:paraId="403603D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C234">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3</w:t>
    </w:r>
    <w:r>
      <w:rPr>
        <w:rStyle w:val="11"/>
        <w:sz w:val="28"/>
        <w:szCs w:val="28"/>
      </w:rPr>
      <w:fldChar w:fldCharType="end"/>
    </w:r>
    <w:r>
      <w:rPr>
        <w:rStyle w:val="11"/>
        <w:rFonts w:hint="eastAsia"/>
        <w:sz w:val="28"/>
        <w:szCs w:val="28"/>
      </w:rPr>
      <w:t xml:space="preserve"> —</w:t>
    </w:r>
  </w:p>
  <w:p w14:paraId="70A5461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C17F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EF8AF">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694CB">
    <w:pPr>
      <w:pStyle w:val="12"/>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17C5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261E1"/>
    <w:rsid w:val="0C747FFC"/>
    <w:rsid w:val="3B0261E1"/>
    <w:rsid w:val="4746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1"/>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3"/>
    <w:next w:val="3"/>
    <w:unhideWhenUsed/>
    <w:qFormat/>
    <w:uiPriority w:val="99"/>
    <w:pPr>
      <w:spacing w:before="0" w:after="140" w:line="276" w:lineRule="auto"/>
    </w:p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unhideWhenUsed/>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2025-12-24T08:43:00Z</dcterms:created>
  <dc:creator>shane</dc:creator>
  <cp:lastModifiedBy>shane</cp:lastModifiedBy>
  <dcterms:modified xsi:type="dcterms:W3CDTF">2025-12-24T08:53:13Z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68061EDB0D7A4917A2117B033E3E37AE_13</vt:lpwstr>
  </property>
  <property fmtid="{D5CDD505-2E9C-101B-9397-08002B2CF9AE}" pid="4" name="KSOTemplateDocerSaveRecord">
    <vt:lpwstr>eyJoZGlkIjoiMjMzMzI5MzFiZjJjOWQwOTYyMDQwNTgxOTRkODYyYmIiLCJ1c2VySWQiOiI3OTg4MTUwNDIifQ==</vt:lpwstr>
  </property>
</Properties>
</file>