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8C" w:rsidRDefault="004F1C8C" w:rsidP="004F1C8C">
      <w:pPr>
        <w:spacing w:line="580" w:lineRule="exac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 xml:space="preserve">1 </w:t>
      </w:r>
    </w:p>
    <w:p w:rsidR="004F1C8C" w:rsidRDefault="004F1C8C" w:rsidP="004F1C8C">
      <w:pPr>
        <w:spacing w:line="560" w:lineRule="exact"/>
        <w:jc w:val="center"/>
        <w:rPr>
          <w:rFonts w:ascii="方正小标宋_GBK" w:eastAsia="方正小标宋_GBK" w:hAnsi="Times New Roman"/>
          <w:sz w:val="30"/>
          <w:szCs w:val="30"/>
        </w:rPr>
      </w:pPr>
      <w:r>
        <w:rPr>
          <w:rFonts w:ascii="方正小标宋_GBK" w:eastAsia="方正小标宋_GBK" w:hAnsi="Times New Roman" w:hint="eastAsia"/>
          <w:sz w:val="30"/>
          <w:szCs w:val="30"/>
        </w:rPr>
        <w:t>老旧营运船舶报废更新补贴标准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一、报废老旧营运船舶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金额按以下方法计算：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单船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金额</w:t>
      </w:r>
      <w:r>
        <w:rPr>
          <w:rFonts w:ascii="Times New Roman" w:eastAsia="仿宋_GB2312" w:hAnsi="Times New Roman"/>
          <w:sz w:val="28"/>
          <w:szCs w:val="28"/>
        </w:rPr>
        <w:t>=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标准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船舶类型系数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船龄系数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船舶总吨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其中，补贴标准见表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-1</w:t>
      </w:r>
      <w:r>
        <w:rPr>
          <w:rFonts w:ascii="Times New Roman" w:eastAsia="仿宋_GB2312" w:hAnsi="Times New Roman"/>
          <w:sz w:val="28"/>
          <w:szCs w:val="28"/>
        </w:rPr>
        <w:t>。船龄系数以办理船舶所有权注销手续时的实际船龄计算，船龄系数见表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船舶类型系数见表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。船舶类型和船舶总吨以报废船舶检验证书核定为准</w:t>
      </w:r>
      <w:r>
        <w:rPr>
          <w:rFonts w:ascii="Times New Roman" w:eastAsia="仿宋_GB2312" w:hAnsi="Times New Roman" w:hint="eastAsia"/>
          <w:sz w:val="28"/>
          <w:szCs w:val="28"/>
        </w:rPr>
        <w:t>。船舶总吨不足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总吨的，按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总吨计算；大于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总吨不足</w:t>
      </w:r>
      <w:r>
        <w:rPr>
          <w:rFonts w:ascii="Times New Roman" w:eastAsia="仿宋_GB2312" w:hAnsi="Times New Roman" w:hint="eastAsia"/>
          <w:sz w:val="28"/>
          <w:szCs w:val="28"/>
        </w:rPr>
        <w:t>50</w:t>
      </w:r>
      <w:r>
        <w:rPr>
          <w:rFonts w:ascii="Times New Roman" w:eastAsia="仿宋_GB2312" w:hAnsi="Times New Roman" w:hint="eastAsia"/>
          <w:sz w:val="28"/>
          <w:szCs w:val="28"/>
        </w:rPr>
        <w:t>总吨的，按</w:t>
      </w:r>
      <w:r>
        <w:rPr>
          <w:rFonts w:ascii="Times New Roman" w:eastAsia="仿宋_GB2312" w:hAnsi="Times New Roman" w:hint="eastAsia"/>
          <w:sz w:val="28"/>
          <w:szCs w:val="28"/>
        </w:rPr>
        <w:t>50</w:t>
      </w:r>
      <w:r>
        <w:rPr>
          <w:rFonts w:ascii="Times New Roman" w:eastAsia="仿宋_GB2312" w:hAnsi="Times New Roman" w:hint="eastAsia"/>
          <w:sz w:val="28"/>
          <w:szCs w:val="28"/>
        </w:rPr>
        <w:t>总吨计算。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二、报废老旧营运船舶后</w:t>
      </w:r>
      <w:r>
        <w:rPr>
          <w:rFonts w:ascii="Times New Roman" w:eastAsia="仿宋_GB2312" w:hAnsi="Times New Roman"/>
          <w:sz w:val="28"/>
          <w:szCs w:val="28"/>
        </w:rPr>
        <w:t>新建</w:t>
      </w:r>
      <w:r>
        <w:rPr>
          <w:rFonts w:ascii="Times New Roman" w:eastAsia="仿宋_GB2312" w:hAnsi="Times New Roman" w:hint="eastAsia"/>
          <w:sz w:val="28"/>
          <w:szCs w:val="28"/>
        </w:rPr>
        <w:t>燃油动力</w:t>
      </w:r>
      <w:r>
        <w:rPr>
          <w:rFonts w:ascii="Times New Roman" w:eastAsia="仿宋_GB2312" w:hAnsi="Times New Roman"/>
          <w:sz w:val="28"/>
          <w:szCs w:val="28"/>
        </w:rPr>
        <w:t>营运船舶</w:t>
      </w:r>
      <w:r>
        <w:rPr>
          <w:rFonts w:ascii="Times New Roman" w:eastAsia="仿宋_GB2312" w:hAnsi="Times New Roman" w:hint="eastAsia"/>
          <w:sz w:val="28"/>
          <w:szCs w:val="28"/>
        </w:rPr>
        <w:t>，其新建燃油动力船舶的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金额按以下方法计算：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单船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金额</w:t>
      </w:r>
      <w:r>
        <w:rPr>
          <w:rFonts w:ascii="Times New Roman" w:eastAsia="仿宋_GB2312" w:hAnsi="Times New Roman"/>
          <w:sz w:val="28"/>
          <w:szCs w:val="28"/>
        </w:rPr>
        <w:t>=</w:t>
      </w:r>
      <w:r>
        <w:rPr>
          <w:rFonts w:ascii="Times New Roman" w:eastAsia="仿宋_GB2312" w:hAnsi="Times New Roman" w:hint="eastAsia"/>
          <w:sz w:val="28"/>
          <w:szCs w:val="28"/>
        </w:rPr>
        <w:t>补贴标准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船舶类型系数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船舶总吨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其中，补贴标准见表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-1</w:t>
      </w:r>
      <w:r>
        <w:rPr>
          <w:rFonts w:ascii="Times New Roman" w:eastAsia="仿宋_GB2312" w:hAnsi="Times New Roman"/>
          <w:sz w:val="28"/>
          <w:szCs w:val="28"/>
        </w:rPr>
        <w:t>。船舶类型系数见表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。船舶类型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船舶总吨以船舶检验证书核定为准</w:t>
      </w:r>
      <w:r>
        <w:rPr>
          <w:rFonts w:ascii="Times New Roman" w:eastAsia="仿宋_GB2312" w:hAnsi="Times New Roman" w:hint="eastAsia"/>
          <w:sz w:val="28"/>
          <w:szCs w:val="28"/>
        </w:rPr>
        <w:t>。新建船舶的总吨大于对应的拆解船舶总吨时，单船补贴金额按对应的拆解船舶的总吨计算。</w:t>
      </w:r>
      <w:bookmarkStart w:id="0" w:name="OLE_LINK4"/>
      <w:bookmarkStart w:id="1" w:name="OLE_LINK3"/>
      <w:r>
        <w:rPr>
          <w:rFonts w:ascii="Times New Roman" w:eastAsia="仿宋_GB2312" w:hAnsi="Times New Roman" w:hint="eastAsia"/>
          <w:sz w:val="28"/>
          <w:szCs w:val="28"/>
        </w:rPr>
        <w:t>船舶总吨不足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总吨的，按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总吨计算；大于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总吨不足</w:t>
      </w:r>
      <w:r>
        <w:rPr>
          <w:rFonts w:ascii="Times New Roman" w:eastAsia="仿宋_GB2312" w:hAnsi="Times New Roman" w:hint="eastAsia"/>
          <w:sz w:val="28"/>
          <w:szCs w:val="28"/>
        </w:rPr>
        <w:t>50</w:t>
      </w:r>
      <w:r>
        <w:rPr>
          <w:rFonts w:ascii="Times New Roman" w:eastAsia="仿宋_GB2312" w:hAnsi="Times New Roman" w:hint="eastAsia"/>
          <w:sz w:val="28"/>
          <w:szCs w:val="28"/>
        </w:rPr>
        <w:t>总吨的，按</w:t>
      </w:r>
      <w:r>
        <w:rPr>
          <w:rFonts w:ascii="Times New Roman" w:eastAsia="仿宋_GB2312" w:hAnsi="Times New Roman" w:hint="eastAsia"/>
          <w:sz w:val="28"/>
          <w:szCs w:val="28"/>
        </w:rPr>
        <w:t>50</w:t>
      </w:r>
      <w:r>
        <w:rPr>
          <w:rFonts w:ascii="Times New Roman" w:eastAsia="仿宋_GB2312" w:hAnsi="Times New Roman" w:hint="eastAsia"/>
          <w:sz w:val="28"/>
          <w:szCs w:val="28"/>
        </w:rPr>
        <w:t>总吨计算。</w:t>
      </w:r>
      <w:bookmarkEnd w:id="0"/>
      <w:bookmarkEnd w:id="1"/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</w:t>
      </w:r>
      <w:r>
        <w:rPr>
          <w:rFonts w:ascii="Times New Roman" w:eastAsia="仿宋_GB2312" w:hAnsi="Times New Roman"/>
          <w:sz w:val="28"/>
          <w:szCs w:val="28"/>
        </w:rPr>
        <w:t>新建</w:t>
      </w:r>
      <w:r>
        <w:rPr>
          <w:rFonts w:ascii="Times New Roman" w:eastAsia="仿宋_GB2312" w:hAnsi="Times New Roman" w:hint="eastAsia"/>
          <w:sz w:val="28"/>
          <w:szCs w:val="28"/>
        </w:rPr>
        <w:t>新能源清洁能源</w:t>
      </w:r>
      <w:r>
        <w:rPr>
          <w:rFonts w:ascii="Times New Roman" w:eastAsia="仿宋_GB2312" w:hAnsi="Times New Roman"/>
          <w:sz w:val="28"/>
          <w:szCs w:val="28"/>
        </w:rPr>
        <w:t>营运船舶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金额按以下方法计算：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单船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金额</w:t>
      </w:r>
      <w:r>
        <w:rPr>
          <w:rFonts w:ascii="Times New Roman" w:eastAsia="仿宋_GB2312" w:hAnsi="Times New Roman"/>
          <w:sz w:val="28"/>
          <w:szCs w:val="28"/>
        </w:rPr>
        <w:t>=</w:t>
      </w:r>
      <w:r>
        <w:rPr>
          <w:rFonts w:ascii="Times New Roman" w:eastAsia="仿宋_GB2312" w:hAnsi="Times New Roman"/>
          <w:bCs/>
          <w:sz w:val="28"/>
          <w:szCs w:val="28"/>
        </w:rPr>
        <w:t>补贴</w:t>
      </w:r>
      <w:r>
        <w:rPr>
          <w:rFonts w:ascii="Times New Roman" w:eastAsia="仿宋_GB2312" w:hAnsi="Times New Roman"/>
          <w:sz w:val="28"/>
          <w:szCs w:val="28"/>
        </w:rPr>
        <w:t>标准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船舶类型系数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 w:hint="eastAsia"/>
          <w:sz w:val="28"/>
          <w:szCs w:val="28"/>
        </w:rPr>
        <w:t>新能源清洁能源</w:t>
      </w:r>
      <w:r>
        <w:rPr>
          <w:rFonts w:ascii="Times New Roman" w:eastAsia="仿宋_GB2312" w:hAnsi="Times New Roman"/>
          <w:sz w:val="28"/>
          <w:szCs w:val="28"/>
        </w:rPr>
        <w:t>船</w:t>
      </w:r>
      <w:r>
        <w:rPr>
          <w:rFonts w:ascii="Times New Roman" w:eastAsia="仿宋_GB2312" w:hAnsi="Times New Roman" w:hint="eastAsia"/>
          <w:sz w:val="28"/>
          <w:szCs w:val="28"/>
        </w:rPr>
        <w:t>动力形式</w:t>
      </w:r>
      <w:r>
        <w:rPr>
          <w:rFonts w:ascii="Times New Roman" w:eastAsia="仿宋_GB2312" w:hAnsi="Times New Roman"/>
          <w:sz w:val="28"/>
          <w:szCs w:val="28"/>
        </w:rPr>
        <w:t>系数</w:t>
      </w:r>
      <w:r>
        <w:rPr>
          <w:rFonts w:ascii="Times New Roman" w:eastAsia="仿宋_GB2312" w:hAnsi="Times New Roman"/>
          <w:sz w:val="28"/>
          <w:szCs w:val="28"/>
        </w:rPr>
        <w:t>×</w:t>
      </w:r>
      <w:r>
        <w:rPr>
          <w:rFonts w:ascii="Times New Roman" w:eastAsia="仿宋_GB2312" w:hAnsi="Times New Roman"/>
          <w:sz w:val="28"/>
          <w:szCs w:val="28"/>
        </w:rPr>
        <w:t>船舶总吨</w:t>
      </w:r>
    </w:p>
    <w:p w:rsidR="004F1C8C" w:rsidRDefault="004F1C8C" w:rsidP="004F1C8C">
      <w:pPr>
        <w:spacing w:line="56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其中，补贴标准见表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-1</w:t>
      </w:r>
      <w:r>
        <w:rPr>
          <w:rFonts w:ascii="Times New Roman" w:eastAsia="仿宋_GB2312" w:hAnsi="Times New Roman"/>
          <w:sz w:val="28"/>
          <w:szCs w:val="28"/>
        </w:rPr>
        <w:t>。船舶类型和船舶总吨以新建船舶检验证书核定为准</w:t>
      </w:r>
      <w:r>
        <w:rPr>
          <w:rFonts w:ascii="Times New Roman" w:eastAsia="仿宋_GB2312" w:hAnsi="Times New Roman" w:hint="eastAsia"/>
          <w:sz w:val="28"/>
          <w:szCs w:val="28"/>
        </w:rPr>
        <w:t>。内河集装箱船和内河多用途船总吨按船舶检验证书核定船舶总吨的</w:t>
      </w:r>
      <w:r>
        <w:rPr>
          <w:rFonts w:ascii="Times New Roman" w:eastAsia="仿宋_GB2312" w:hAnsi="Times New Roman" w:hint="eastAsia"/>
          <w:sz w:val="28"/>
          <w:szCs w:val="28"/>
        </w:rPr>
        <w:t>0.7</w:t>
      </w:r>
      <w:r>
        <w:rPr>
          <w:rFonts w:ascii="Times New Roman" w:eastAsia="仿宋_GB2312" w:hAnsi="Times New Roman" w:hint="eastAsia"/>
          <w:sz w:val="28"/>
          <w:szCs w:val="28"/>
        </w:rPr>
        <w:t>倍计算。</w:t>
      </w:r>
      <w:r>
        <w:rPr>
          <w:rFonts w:ascii="Times New Roman" w:eastAsia="仿宋_GB2312" w:hAnsi="Times New Roman"/>
          <w:sz w:val="28"/>
          <w:szCs w:val="28"/>
        </w:rPr>
        <w:t>船舶类型系数见表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-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新能源清洁能源船动力形式系数见表</w:t>
      </w:r>
      <w:r>
        <w:rPr>
          <w:rFonts w:ascii="Times New Roman" w:eastAsia="仿宋_GB2312" w:hAnsi="Times New Roman" w:hint="eastAsia"/>
          <w:sz w:val="28"/>
          <w:szCs w:val="28"/>
        </w:rPr>
        <w:t>1-4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F1C8C" w:rsidRDefault="004F1C8C" w:rsidP="004F1C8C">
      <w:pPr>
        <w:spacing w:line="580" w:lineRule="exact"/>
        <w:ind w:firstLineChars="200" w:firstLine="56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表</w:t>
      </w: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-1</w:t>
      </w:r>
      <w:r>
        <w:rPr>
          <w:rFonts w:ascii="Times New Roman" w:eastAsia="黑体" w:hAnsi="Times New Roman"/>
          <w:sz w:val="28"/>
          <w:szCs w:val="28"/>
        </w:rPr>
        <w:t>营运船舶报废更新补贴标准（单位：元</w:t>
      </w:r>
      <w:r>
        <w:rPr>
          <w:rFonts w:ascii="Times New Roman" w:eastAsia="黑体" w:hAnsi="Times New Roman"/>
          <w:sz w:val="28"/>
          <w:szCs w:val="28"/>
        </w:rPr>
        <w:t>/</w:t>
      </w:r>
      <w:r>
        <w:rPr>
          <w:rFonts w:ascii="Times New Roman" w:eastAsia="黑体" w:hAnsi="Times New Roman"/>
          <w:sz w:val="28"/>
          <w:szCs w:val="28"/>
        </w:rPr>
        <w:t>总吨）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2"/>
        <w:gridCol w:w="2976"/>
        <w:gridCol w:w="2071"/>
      </w:tblGrid>
      <w:tr w:rsidR="004F1C8C" w:rsidTr="005228E9">
        <w:trPr>
          <w:trHeight w:val="487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内河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船舶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沿海船舶</w:t>
            </w:r>
          </w:p>
        </w:tc>
      </w:tr>
      <w:tr w:rsidR="004F1C8C" w:rsidTr="005228E9">
        <w:trPr>
          <w:trHeight w:val="433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报废老旧营运船舶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1000</w:t>
            </w:r>
          </w:p>
        </w:tc>
      </w:tr>
      <w:tr w:rsidR="004F1C8C" w:rsidTr="005228E9">
        <w:trPr>
          <w:trHeight w:val="433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新建燃油动力营运船舶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4F1C8C" w:rsidTr="005228E9">
        <w:trPr>
          <w:trHeight w:val="433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新建新能源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清洁能源营运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船舶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8C" w:rsidRDefault="004F1C8C" w:rsidP="005228E9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00</w:t>
            </w:r>
          </w:p>
        </w:tc>
      </w:tr>
    </w:tbl>
    <w:p w:rsidR="004F1C8C" w:rsidRDefault="004F1C8C" w:rsidP="004F1C8C">
      <w:pPr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注</w:t>
      </w:r>
      <w:r>
        <w:rPr>
          <w:rFonts w:ascii="Times New Roman" w:eastAsia="仿宋_GB2312" w:hAnsi="Times New Roman" w:hint="eastAsia"/>
          <w:sz w:val="24"/>
          <w:szCs w:val="24"/>
        </w:rPr>
        <w:t>：</w:t>
      </w:r>
      <w:r>
        <w:rPr>
          <w:rFonts w:ascii="Times New Roman" w:eastAsia="仿宋_GB2312" w:hAnsi="Times New Roman" w:hint="eastAsia"/>
          <w:sz w:val="24"/>
          <w:szCs w:val="24"/>
        </w:rPr>
        <w:t>1.</w:t>
      </w:r>
      <w:r>
        <w:rPr>
          <w:rFonts w:ascii="Times New Roman" w:eastAsia="仿宋_GB2312" w:hAnsi="Times New Roman" w:hint="eastAsia"/>
          <w:sz w:val="24"/>
          <w:szCs w:val="24"/>
        </w:rPr>
        <w:t>特定航线江海直达船舶执行内河船舶补贴标准。</w:t>
      </w:r>
    </w:p>
    <w:p w:rsidR="004F1C8C" w:rsidRDefault="004F1C8C" w:rsidP="004F1C8C">
      <w:pPr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 xml:space="preserve">    2.</w:t>
      </w:r>
      <w:r>
        <w:rPr>
          <w:rFonts w:ascii="Times New Roman" w:eastAsia="仿宋_GB2312" w:hAnsi="Times New Roman" w:hint="eastAsia"/>
          <w:sz w:val="24"/>
          <w:szCs w:val="24"/>
        </w:rPr>
        <w:t>必须报废老旧营运船舶方可申请新建燃油动力营运船舶补贴。</w:t>
      </w:r>
    </w:p>
    <w:p w:rsidR="004F1C8C" w:rsidRDefault="004F1C8C" w:rsidP="004F1C8C">
      <w:pPr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表</w:t>
      </w: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 xml:space="preserve">-2 </w:t>
      </w:r>
      <w:r>
        <w:rPr>
          <w:rFonts w:ascii="Times New Roman" w:eastAsia="黑体" w:hAnsi="Times New Roman"/>
          <w:sz w:val="28"/>
          <w:szCs w:val="28"/>
        </w:rPr>
        <w:t>内河和沿海老旧营运船舶船龄系数表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834"/>
        <w:gridCol w:w="1834"/>
        <w:gridCol w:w="1834"/>
        <w:gridCol w:w="1834"/>
      </w:tblGrid>
      <w:tr w:rsidR="004F1C8C" w:rsidTr="005228E9">
        <w:trPr>
          <w:jc w:val="center"/>
        </w:trPr>
        <w:tc>
          <w:tcPr>
            <w:tcW w:w="1183" w:type="dxa"/>
            <w:vMerge w:val="restart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船舶种类</w:t>
            </w:r>
          </w:p>
        </w:tc>
        <w:tc>
          <w:tcPr>
            <w:tcW w:w="3668" w:type="dxa"/>
            <w:gridSpan w:val="2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内河船</w:t>
            </w:r>
          </w:p>
        </w:tc>
        <w:tc>
          <w:tcPr>
            <w:tcW w:w="3668" w:type="dxa"/>
            <w:gridSpan w:val="2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沿海船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船龄（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船龄系数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船龄（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船龄系数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 w:val="restart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客船类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X≤15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X≤18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0.7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0.7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 w:val="restart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货船类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0.7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X≤27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0.7</w:t>
            </w:r>
          </w:p>
        </w:tc>
      </w:tr>
      <w:tr w:rsidR="004F1C8C" w:rsidTr="005228E9">
        <w:trPr>
          <w:jc w:val="center"/>
        </w:trPr>
        <w:tc>
          <w:tcPr>
            <w:tcW w:w="1183" w:type="dxa"/>
            <w:vMerge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X≤30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X≤30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834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</w:p>
        </w:tc>
      </w:tr>
    </w:tbl>
    <w:p w:rsidR="004F1C8C" w:rsidRDefault="004F1C8C" w:rsidP="004F1C8C">
      <w:pPr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4"/>
          <w:szCs w:val="24"/>
        </w:rPr>
        <w:t>注：根据船舶种类和实际船龄对应上表确定船龄系数。</w:t>
      </w:r>
      <w:r>
        <w:rPr>
          <w:rFonts w:ascii="Times New Roman" w:eastAsia="仿宋_GB2312" w:hAnsi="Times New Roman" w:hint="eastAsia"/>
          <w:sz w:val="24"/>
          <w:szCs w:val="24"/>
        </w:rPr>
        <w:t>拆解船舶的实际船龄为船舶自建造完工之日起至《船舶所有权注销登记证明书》签发之日的年限（据实计算，不取整）。</w:t>
      </w:r>
    </w:p>
    <w:p w:rsidR="004F1C8C" w:rsidRDefault="004F1C8C" w:rsidP="004F1C8C">
      <w:pPr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表</w:t>
      </w: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-3</w:t>
      </w:r>
      <w:r>
        <w:rPr>
          <w:rFonts w:ascii="Times New Roman" w:eastAsia="黑体" w:hAnsi="Times New Roman"/>
          <w:sz w:val="28"/>
          <w:szCs w:val="28"/>
        </w:rPr>
        <w:t>船舶</w:t>
      </w:r>
      <w:r>
        <w:rPr>
          <w:rFonts w:ascii="Times New Roman" w:eastAsia="黑体" w:hAnsi="Times New Roman" w:hint="eastAsia"/>
          <w:sz w:val="28"/>
          <w:szCs w:val="28"/>
        </w:rPr>
        <w:t>类型</w:t>
      </w:r>
      <w:r>
        <w:rPr>
          <w:rFonts w:ascii="Times New Roman" w:eastAsia="黑体" w:hAnsi="Times New Roman"/>
          <w:sz w:val="28"/>
          <w:szCs w:val="28"/>
        </w:rPr>
        <w:t>系数表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861"/>
      </w:tblGrid>
      <w:tr w:rsidR="004F1C8C" w:rsidTr="005228E9">
        <w:trPr>
          <w:jc w:val="center"/>
        </w:trPr>
        <w:tc>
          <w:tcPr>
            <w:tcW w:w="665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船型</w:t>
            </w:r>
          </w:p>
        </w:tc>
        <w:tc>
          <w:tcPr>
            <w:tcW w:w="186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船型系数</w:t>
            </w:r>
          </w:p>
        </w:tc>
      </w:tr>
      <w:tr w:rsidR="004F1C8C" w:rsidTr="005228E9">
        <w:trPr>
          <w:jc w:val="center"/>
        </w:trPr>
        <w:tc>
          <w:tcPr>
            <w:tcW w:w="665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散货船、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矿砂船、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散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装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水泥船、杂货船、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内河集装箱船、内河多用途船、内河货滚船、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其他货船</w:t>
            </w:r>
          </w:p>
        </w:tc>
        <w:tc>
          <w:tcPr>
            <w:tcW w:w="186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1.0</w:t>
            </w:r>
          </w:p>
        </w:tc>
      </w:tr>
      <w:tr w:rsidR="004F1C8C" w:rsidTr="005228E9">
        <w:trPr>
          <w:jc w:val="center"/>
        </w:trPr>
        <w:tc>
          <w:tcPr>
            <w:tcW w:w="665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冷藏船、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沿海集装箱船、沿海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多用途船、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沿海货滚船、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木材船</w:t>
            </w:r>
          </w:p>
        </w:tc>
        <w:tc>
          <w:tcPr>
            <w:tcW w:w="186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1.2</w:t>
            </w:r>
          </w:p>
        </w:tc>
      </w:tr>
      <w:tr w:rsidR="004F1C8C" w:rsidTr="005228E9">
        <w:trPr>
          <w:jc w:val="center"/>
        </w:trPr>
        <w:tc>
          <w:tcPr>
            <w:tcW w:w="665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客船、客滚船、客货船、客渡船、客货渡船、旅游船、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其他客船、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液化气船、散装化学品船、油船（包括沥青船）、推船、拖船</w:t>
            </w:r>
          </w:p>
        </w:tc>
        <w:tc>
          <w:tcPr>
            <w:tcW w:w="186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1.5</w:t>
            </w:r>
          </w:p>
        </w:tc>
      </w:tr>
    </w:tbl>
    <w:p w:rsidR="004F1C8C" w:rsidRDefault="004F1C8C" w:rsidP="004F1C8C">
      <w:pPr>
        <w:jc w:val="center"/>
        <w:rPr>
          <w:rFonts w:ascii="Times New Roman" w:eastAsia="黑体" w:hAnsi="Times New Roman"/>
          <w:sz w:val="24"/>
          <w:szCs w:val="24"/>
        </w:rPr>
      </w:pPr>
    </w:p>
    <w:p w:rsidR="004F1C8C" w:rsidRDefault="004F1C8C" w:rsidP="004F1C8C">
      <w:pPr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表</w:t>
      </w: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-</w:t>
      </w:r>
      <w:r>
        <w:rPr>
          <w:rFonts w:ascii="Times New Roman" w:eastAsia="黑体" w:hAnsi="Times New Roman" w:hint="eastAsia"/>
          <w:sz w:val="28"/>
          <w:szCs w:val="28"/>
        </w:rPr>
        <w:t>4</w:t>
      </w:r>
      <w:r>
        <w:rPr>
          <w:rFonts w:ascii="Times New Roman" w:eastAsia="黑体" w:hAnsi="Times New Roman" w:hint="eastAsia"/>
          <w:sz w:val="28"/>
          <w:szCs w:val="28"/>
        </w:rPr>
        <w:t>新能源清洁能源船动力形式系数</w:t>
      </w:r>
      <w:r>
        <w:rPr>
          <w:rFonts w:ascii="Times New Roman" w:eastAsia="黑体" w:hAnsi="Times New Roman"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1"/>
        <w:gridCol w:w="1878"/>
      </w:tblGrid>
      <w:tr w:rsidR="004F1C8C" w:rsidTr="005228E9">
        <w:trPr>
          <w:trHeight w:val="381"/>
          <w:jc w:val="center"/>
        </w:trPr>
        <w:tc>
          <w:tcPr>
            <w:tcW w:w="664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船舶动力类型</w:t>
            </w:r>
          </w:p>
        </w:tc>
        <w:tc>
          <w:tcPr>
            <w:tcW w:w="187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动力形式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系数</w:t>
            </w:r>
          </w:p>
        </w:tc>
      </w:tr>
      <w:tr w:rsidR="004F1C8C" w:rsidTr="005228E9">
        <w:trPr>
          <w:jc w:val="center"/>
        </w:trPr>
        <w:tc>
          <w:tcPr>
            <w:tcW w:w="664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甲醇单一燃料、氢燃料动力、氨燃料动力、纯电池动力（不含铅酸电池动力）船舶</w:t>
            </w:r>
          </w:p>
        </w:tc>
        <w:tc>
          <w:tcPr>
            <w:tcW w:w="187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1.0</w:t>
            </w:r>
          </w:p>
        </w:tc>
      </w:tr>
      <w:tr w:rsidR="004F1C8C" w:rsidTr="005228E9">
        <w:trPr>
          <w:trHeight w:val="571"/>
          <w:jc w:val="center"/>
        </w:trPr>
        <w:tc>
          <w:tcPr>
            <w:tcW w:w="664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液化天然气单一燃料船舶</w:t>
            </w:r>
          </w:p>
        </w:tc>
        <w:tc>
          <w:tcPr>
            <w:tcW w:w="187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0.9</w:t>
            </w:r>
          </w:p>
        </w:tc>
      </w:tr>
      <w:tr w:rsidR="004F1C8C" w:rsidTr="005228E9">
        <w:trPr>
          <w:jc w:val="center"/>
        </w:trPr>
        <w:tc>
          <w:tcPr>
            <w:tcW w:w="6641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燃油替代率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60%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以上的液化天然气和燃油双燃料、</w:t>
            </w:r>
          </w:p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燃油替代率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以上的甲醇和燃油双燃料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船舶</w:t>
            </w:r>
          </w:p>
        </w:tc>
        <w:tc>
          <w:tcPr>
            <w:tcW w:w="1878" w:type="dxa"/>
            <w:vAlign w:val="center"/>
          </w:tcPr>
          <w:p w:rsidR="004F1C8C" w:rsidRDefault="004F1C8C" w:rsidP="005228E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</w:tr>
    </w:tbl>
    <w:p w:rsidR="005F385B" w:rsidRDefault="005F385B">
      <w:bookmarkStart w:id="2" w:name="_GoBack"/>
      <w:bookmarkEnd w:id="2"/>
    </w:p>
    <w:sectPr w:rsidR="005F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2A" w:rsidRDefault="00FE422A" w:rsidP="004F1C8C">
      <w:r>
        <w:separator/>
      </w:r>
    </w:p>
  </w:endnote>
  <w:endnote w:type="continuationSeparator" w:id="0">
    <w:p w:rsidR="00FE422A" w:rsidRDefault="00FE422A" w:rsidP="004F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2A" w:rsidRDefault="00FE422A" w:rsidP="004F1C8C">
      <w:r>
        <w:separator/>
      </w:r>
    </w:p>
  </w:footnote>
  <w:footnote w:type="continuationSeparator" w:id="0">
    <w:p w:rsidR="00FE422A" w:rsidRDefault="00FE422A" w:rsidP="004F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EF"/>
    <w:rsid w:val="004F1C8C"/>
    <w:rsid w:val="005F385B"/>
    <w:rsid w:val="00EF23EF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5AB65-D806-4A85-951F-5FD0CF45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C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C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C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CHEN.Laibing</dc:creator>
  <cp:keywords/>
  <dc:description/>
  <cp:lastModifiedBy>CHEN.Laibing</cp:lastModifiedBy>
  <cp:revision>2</cp:revision>
  <dcterms:created xsi:type="dcterms:W3CDTF">2026-01-09T15:09:00Z</dcterms:created>
  <dcterms:modified xsi:type="dcterms:W3CDTF">2026-01-09T15:09:00Z</dcterms:modified>
</cp:coreProperties>
</file>