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22"/>
        <w:gridCol w:w="833"/>
        <w:gridCol w:w="834"/>
        <w:gridCol w:w="834"/>
        <w:gridCol w:w="834"/>
        <w:gridCol w:w="834"/>
        <w:gridCol w:w="834"/>
        <w:gridCol w:w="834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2024年标准化战略资金资助申报项目汇总表(         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一、标准制定修订项目申报汇总表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开户银行支行名称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29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发布日期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实施日期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制定或修订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起草单位排名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填表日期：                   审核人：                 填报单位盖章：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00" w:lineRule="exact"/>
        <w:rPr>
          <w:rFonts w:hint="default"/>
          <w:lang w:val="en-US" w:eastAsia="zh-CN"/>
        </w:rPr>
      </w:pPr>
    </w:p>
    <w:p>
      <w:pPr>
        <w:pStyle w:val="5"/>
        <w:spacing w:line="500" w:lineRule="exact"/>
        <w:ind w:left="0" w:leftChars="0"/>
        <w:rPr>
          <w:rFonts w:hint="default"/>
          <w:lang w:val="en-US" w:eastAsia="zh-CN"/>
        </w:rPr>
      </w:pPr>
    </w:p>
    <w:p>
      <w:pPr>
        <w:pStyle w:val="5"/>
        <w:spacing w:line="500" w:lineRule="exact"/>
        <w:ind w:left="0" w:leftChars="0"/>
        <w:rPr>
          <w:rFonts w:hint="default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961"/>
        <w:gridCol w:w="961"/>
        <w:gridCol w:w="961"/>
        <w:gridCol w:w="961"/>
        <w:gridCol w:w="961"/>
        <w:gridCol w:w="1641"/>
        <w:gridCol w:w="961"/>
        <w:gridCol w:w="961"/>
        <w:gridCol w:w="961"/>
        <w:gridCol w:w="964"/>
        <w:gridCol w:w="964"/>
        <w:gridCol w:w="96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二、其他类项目申报汇总表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开户名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开户银行支行名称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</w:t>
            </w:r>
            <w:r>
              <w:rPr>
                <w:rStyle w:val="8"/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 w:bidi="ar"/>
              </w:rPr>
              <w:t>/获批/成立/获证时间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验收/完成时间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3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  填表日期：                 审核人：                  填报单位盖章：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33243A85"/>
    <w:rsid w:val="33243A85"/>
    <w:rsid w:val="355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font01"/>
    <w:basedOn w:val="7"/>
    <w:qFormat/>
    <w:uiPriority w:val="0"/>
    <w:rPr>
      <w:rFonts w:hint="default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2024-07-18T08:10:00Z</dcterms:created>
  <dc:creator>叶菲</dc:creator>
  <cp:lastModifiedBy>叶菲</cp:lastModifiedBy>
  <dcterms:modified xsi:type="dcterms:W3CDTF">2024-07-18T08:11:12Z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B9984A3B4B954CF59700846ACFD3C40D_11</vt:lpwstr>
  </property>
</Properties>
</file>