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2023年广州市标准化战略专项资金承担专业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标准化技术委员会工作项目分配明细表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75"/>
        <w:gridCol w:w="379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37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val="en-US" w:eastAsia="zh-CN"/>
              </w:rPr>
              <w:t>资助额度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广州赛西标准检测研究院有限公司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广东省区块链和分布式记账技术标准化技术委员会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</w:tbl>
    <w:p>
      <w:pPr>
        <w:ind w:left="-199" w:leftChars="-95" w:right="-92" w:rightChars="-44" w:firstLine="0" w:firstLineChars="0"/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F44EB"/>
    <w:rsid w:val="1A1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2023-08-07T07:16:00Z</dcterms:created>
  <dc:creator>叶菲</dc:creator>
  <cp:lastModifiedBy>叶菲</cp:lastModifiedBy>
  <dcterms:modified xsi:type="dcterms:W3CDTF">2023-08-07T07:17:24Z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