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A5D17">
      <w:pPr>
        <w:pStyle w:val="2"/>
        <w:keepNext w:val="0"/>
        <w:keepLines w:val="0"/>
        <w:widowControl/>
        <w:suppressLineNumbers w:val="0"/>
        <w:spacing w:after="0" w:afterAutospacing="0" w:line="17" w:lineRule="atLeast"/>
        <w:ind w:left="0" w:right="0"/>
        <w:rPr>
          <w:color w:val="3A3B46"/>
          <w:spacing w:val="-22"/>
        </w:rPr>
      </w:pPr>
      <w:bookmarkStart w:id="0" w:name="_GoBack"/>
      <w:r>
        <w:rPr>
          <w:i w:val="0"/>
          <w:iCs w:val="0"/>
          <w:caps w:val="0"/>
          <w:color w:val="3A3B46"/>
          <w:spacing w:val="-22"/>
          <w:bdr w:val="none" w:color="auto" w:sz="0" w:space="0"/>
          <w:shd w:val="clear" w:fill="FFFFFF"/>
        </w:rPr>
        <w:t>人力资源服务产业园（专业楼宇）-海外拓展</w:t>
      </w:r>
    </w:p>
    <w:bookmarkEnd w:id="0"/>
    <w:p w14:paraId="4D56AAA1">
      <w:pPr>
        <w:pStyle w:val="4"/>
        <w:keepNext w:val="0"/>
        <w:keepLines w:val="0"/>
        <w:widowControl/>
        <w:suppressLineNumbers w:val="0"/>
        <w:spacing w:before="0" w:beforeAutospacing="0" w:after="0" w:afterAutospacing="0"/>
        <w:ind w:left="0" w:right="0"/>
        <w:rPr>
          <w:color w:val="A7ADB1"/>
          <w:spacing w:val="-11"/>
        </w:rPr>
      </w:pPr>
      <w:r>
        <w:rPr>
          <w:rFonts w:ascii="Helvetica" w:hAnsi="Helvetica" w:eastAsia="Helvetica" w:cs="Helvetica"/>
          <w:i w:val="0"/>
          <w:iCs w:val="0"/>
          <w:caps w:val="0"/>
          <w:color w:val="A7ADB1"/>
          <w:spacing w:val="-11"/>
          <w:sz w:val="21"/>
          <w:szCs w:val="21"/>
          <w:shd w:val="clear" w:fill="FFFFFF"/>
        </w:rPr>
        <w:t>受理时间：2026-01-26 10:14:00至2026-12-31 18:00:00</w:t>
      </w:r>
    </w:p>
    <w:p w14:paraId="27C3B4A4">
      <w:pPr>
        <w:keepNext w:val="0"/>
        <w:keepLines w:val="0"/>
        <w:widowControl/>
        <w:suppressLineNumbers w:val="0"/>
        <w:pBdr>
          <w:bottom w:val="single" w:color="F9F9F9" w:sz="48" w:space="0"/>
          <w:right w:val="none" w:color="auto" w:sz="0" w:space="0"/>
        </w:pBdr>
        <w:shd w:val="clear" w:fill="FFFFFF"/>
        <w:spacing w:after="0" w:afterAutospacing="0"/>
        <w:ind w:left="0" w:right="0" w:firstLine="0"/>
        <w:jc w:val="left"/>
        <w:rPr>
          <w:rFonts w:hint="default"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shd w:val="clear" w:fill="FFFFFF"/>
          <w:lang w:val="en-US" w:eastAsia="zh-CN" w:bidi="ar"/>
        </w:rPr>
        <w:t>在线申报 </w:t>
      </w:r>
      <w:r>
        <w:rPr>
          <w:rFonts w:hint="default" w:ascii="Helvetica" w:hAnsi="Helvetica" w:eastAsia="Helvetica" w:cs="Helvetica"/>
          <w:i w:val="0"/>
          <w:iCs w:val="0"/>
          <w:caps w:val="0"/>
          <w:color w:val="333333"/>
          <w:spacing w:val="0"/>
          <w:kern w:val="0"/>
          <w:sz w:val="21"/>
          <w:szCs w:val="21"/>
          <w:bdr w:val="none" w:color="auto" w:sz="0" w:space="0"/>
          <w:shd w:val="clear" w:fill="FFFFFF"/>
          <w:lang w:val="en-US" w:eastAsia="zh-CN" w:bidi="ar"/>
        </w:rPr>
        <w:t>收藏</w:t>
      </w:r>
    </w:p>
    <w:p w14:paraId="0DD0D886">
      <w:pPr>
        <w:pStyle w:val="7"/>
      </w:pPr>
      <w:r>
        <w:t>窗体顶端</w:t>
      </w:r>
    </w:p>
    <w:p w14:paraId="4F6D6F72">
      <w:pPr>
        <w:pStyle w:val="8"/>
      </w:pPr>
      <w:r>
        <w:t>窗体底端</w:t>
      </w:r>
    </w:p>
    <w:p w14:paraId="13FF4243">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项目说明</w:t>
      </w:r>
    </w:p>
    <w:p w14:paraId="29E2875F">
      <w:pPr>
        <w:pStyle w:val="4"/>
        <w:keepNext w:val="0"/>
        <w:keepLines w:val="0"/>
        <w:widowControl/>
        <w:suppressLineNumbers w:val="0"/>
        <w:spacing w:before="0"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【政策内容】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人力资源服务产业园（专业楼宇）支持。支持建设人力资源服务产业园，为人才培养、人才培训、人才交流、人才引进提供发展规划引导、政策激励、环境优化、组织协调以及监督管理等支持，每年给予不超过1000万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【适用范围】</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的申报、认定、支持、考核及相关管理工作，在经认定为福田区人力资源服务产业园（专业楼宇）内的人力资源服务企业（机构）的支持、奖励、补贴及相关管理工作，适用本申请指南。</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中，人力资源服务企业（机构）指人力资源招聘、就业和创业指导，人力资源和社会保障事务代理，人力资源培训、劳务派遣、人力资源测评、人力资源管理咨询、人力资源服务外包、高级人才寻访、人力资源信息软件服务等人力资源服务企业（机构），以下统称为人力资源服务机构。</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【支持事项】</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（一）园区支持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园区认定支持。经认定为区级人力资源服务产业园（专业楼宇）的，给予园区运营单位最高一次性100万元的认定支持。获得国家级、省级、市级人力资源服务产业园认定的，除市级政策支持外，分别给予一次性60万元、40万元、20万元的配套支持。获得国家级、省级或市级认定前已享受低一级支持的，仅予以差额配套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2.园区运营奖励。产业园每年参加综合考核，考核结果分为“优秀”、“良好”、“合格”和“不合格”四种，根据考核结果给予运营单位最高100万元的奖励。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（二）入驻机构支持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1.入驻支持。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入园首次支持。签订租约合同时长不低于3年的人力资源服务机构（适用于符合政策支持条件，具有独立法人资格、健全的财务制度、实行独立核算的人力资源服务机构）根据实际租用面积给予一次性入园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（2）驻园运营支持。根据驻园人力资源服务机构营业收入情况和实际租用面积每年给予驻园运营支持。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（1）和（2）两项支持合计最高300万元。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2.产业空间支持。对福田区人力资源服务产业园（专业楼宇）入驻人力资源服务机构，根据其营业收入情况给予每年最高300万元的产业空间支持。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3.鼓励创新奖励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（1）标准化建设奖励。对参与国际、国家行业标准制定且标准出台执行的驻园人力资源服务机构，根据其具体发挥的作用等情况，分别给予最高20万元、10万元的奖励。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（2）业务和产品创新奖励。对荣获国家和省级科技创新奖项的驻园人力资源服务机构，分别给予20万元、10万元的奖励。</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（3）研发支持。对积极运用人工智能、云计算、大数据、区块链、移动终端、O2O等信息技术，推动人力资源服务产业发展的驻园人力资源服务机构，每年按照研发总投入的10%给予补贴，支持额最高100万元。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 行业活动补贴。对市场主体（含园区运营单位、驻园人力资源服务机构）、行业协会、中介组织在园区内，承办国家级、省级学术研讨和业务交流活动，提前经区业务主管部门备案同意的，给予一次性最高国家级20万元、省级10万元的补贴；举行人才交流服务活动的商协会等社会组织，符合人才服务联盟要求的，按照《关于实施福田英才荟的若干措施（2025）》关于人才服务联盟的支持政策给予相应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海外拓展补贴。鼓励有条件的驻园人力资源服务机构“走出去”，与国际知名人力资源服务机构开展合作，建立海外人力资源服务网络，开拓国际市场，且海外业务营收连续2年增长超过50%的，给予一次性最高50万的补贴。</w:t>
      </w:r>
    </w:p>
    <w:p w14:paraId="4DF36AFC">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申报条件及支持额度</w:t>
      </w:r>
    </w:p>
    <w:p w14:paraId="4684F893">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（一）认定申请条件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福田区人力资源服务产业园（专业楼宇）应当具备但不限于以下功能：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第一，甄选优质机构入驻。积极引进国内外成熟型人力资源服务机构和潜力型人力资源服务机构，引导人力资源服务业集群化发展；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第二，提供优质办公条件。为人力资源服务机构提供优质优惠的经营场地，功能齐全的公共配套空间，以及良好的物业管理和后勤保障，园区所在地点交通便捷、生活便利；</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第三，开展增值服务。为入驻人力资源服务机构提供商事登记、管理咨询、上下游资源链接、投融资等服务，力争引进行政服务功能；举办论坛、峰会、路演、学术研讨、培训、沙龙等人力资源服务行业交流活动。</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园区（楼宇）等载体在同时满足以下条件后，可申请认定为福田区人力资源服务产业园（专业楼宇）：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1.场地产权清晰或者租赁备案手续完备，且入驻的人力资源服务机构可在房屋租赁部门办理租赁备案手续；场地作为商务办公用途使用（租用）剩余期限不少于5年，在使用期内不得转售或改变用途；</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园区有专业的运营管理单位、团队和完善的规章制度，且运营单位或者管理单位应当为依法注册、合法经营的企、事业法人单位，在其运营的产业园内有固定办公场地，并配备6名以上专职从事人力资源服务产业园（专业楼宇）运营相关工作的人员；</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3.入驻人力资源服务机构不少于10家；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4.所有入驻园区的人力资源服务机构在福田区内形成的年度营业收入总额不低于1亿人民币；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5.园区功能分区涵盖企业集聚区、公共配套区、政务服务区、形象展示区等部分，总共使用面积不低于10000平方米。其中，企业聚集区入驻人力资源服务机构，公共配套区设置多功能会议室和若干培训室；政务服务区提供政府公共服务以及市场化人才服务；形象展示区设置人力资源服务产业园展板、视频展示厅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6. 园区为入驻人力资源服务机构在市场价格基础上提供租金优惠，下浮比例不低于10%，5年内每年给予人力资源服务机构的租金价格递增幅度不超过5%，同时给予人力资源服务机构满足上述条件下的优先续租权。</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（二）支持申请条件</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申请支持须符合以下条件之一：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1.运营单位为依法注册、合法经营的企、事业法人单位，运营经福田区人力资源局认定的福田区人力资源服务产业园（专业楼宇）；</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2.人力资源服务机构进驻经认定的福田区人力资源服务产业园（专业楼宇），且适用于符合政策支持条件，具有独立法人资格、健全的财务制度、实行独立核算的人力资源服务机构。</w:t>
      </w:r>
    </w:p>
    <w:p w14:paraId="7966EF51">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联系方式</w:t>
      </w:r>
    </w:p>
    <w:p w14:paraId="5C97585C">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0755-83456501</w:t>
      </w:r>
    </w:p>
    <w:p w14:paraId="693ED83C">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申请材料</w:t>
      </w:r>
    </w:p>
    <w:p w14:paraId="45712124">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材料清单，请严格按照要求准备并提交材料</w:t>
      </w:r>
    </w:p>
    <w:tbl>
      <w:tblPr>
        <w:tblW w:w="4998" w:type="pct"/>
        <w:tblInd w:w="0" w:type="dxa"/>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Layout w:type="autofit"/>
        <w:tblCellMar>
          <w:top w:w="15" w:type="dxa"/>
          <w:left w:w="15" w:type="dxa"/>
          <w:bottom w:w="15" w:type="dxa"/>
          <w:right w:w="15" w:type="dxa"/>
        </w:tblCellMar>
      </w:tblPr>
      <w:tblGrid>
        <w:gridCol w:w="1500"/>
        <w:gridCol w:w="1500"/>
        <w:gridCol w:w="1250"/>
        <w:gridCol w:w="2082"/>
        <w:gridCol w:w="1000"/>
        <w:gridCol w:w="1001"/>
      </w:tblGrid>
      <w:tr w14:paraId="27F049E6">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rPr>
          <w:tblHeader/>
        </w:trPr>
        <w:tc>
          <w:tcPr>
            <w:tcW w:w="900" w:type="pct"/>
            <w:tcBorders>
              <w:top w:val="nil"/>
              <w:left w:val="single" w:color="D6DEE7" w:sz="6" w:space="0"/>
              <w:bottom w:val="single" w:color="D6DEE7" w:sz="6" w:space="0"/>
              <w:right w:val="single" w:color="D6DEE7" w:sz="6" w:space="0"/>
            </w:tcBorders>
            <w:shd w:val="clear"/>
            <w:vAlign w:val="bottom"/>
          </w:tcPr>
          <w:p w14:paraId="5F3C2EED">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材料名称</w:t>
            </w:r>
          </w:p>
        </w:tc>
        <w:tc>
          <w:tcPr>
            <w:tcW w:w="900" w:type="pct"/>
            <w:tcBorders>
              <w:top w:val="nil"/>
              <w:left w:val="single" w:color="D6DEE7" w:sz="6" w:space="0"/>
              <w:bottom w:val="single" w:color="D6DEE7" w:sz="6" w:space="0"/>
              <w:right w:val="single" w:color="D6DEE7" w:sz="6" w:space="0"/>
            </w:tcBorders>
            <w:shd w:val="clear"/>
            <w:vAlign w:val="bottom"/>
          </w:tcPr>
          <w:p w14:paraId="2E138FB8">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材料出具单位</w:t>
            </w:r>
          </w:p>
        </w:tc>
        <w:tc>
          <w:tcPr>
            <w:tcW w:w="750" w:type="pct"/>
            <w:tcBorders>
              <w:top w:val="nil"/>
              <w:left w:val="single" w:color="D6DEE7" w:sz="6" w:space="0"/>
              <w:bottom w:val="single" w:color="D6DEE7" w:sz="6" w:space="0"/>
              <w:right w:val="single" w:color="D6DEE7" w:sz="6" w:space="0"/>
            </w:tcBorders>
            <w:shd w:val="clear"/>
            <w:vAlign w:val="bottom"/>
          </w:tcPr>
          <w:p w14:paraId="3074BFAE">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材料形式</w:t>
            </w:r>
          </w:p>
        </w:tc>
        <w:tc>
          <w:tcPr>
            <w:tcW w:w="1249" w:type="pct"/>
            <w:tcBorders>
              <w:top w:val="nil"/>
              <w:left w:val="single" w:color="D6DEE7" w:sz="6" w:space="0"/>
              <w:bottom w:val="single" w:color="D6DEE7" w:sz="6" w:space="0"/>
              <w:right w:val="single" w:color="D6DEE7" w:sz="6" w:space="0"/>
            </w:tcBorders>
            <w:shd w:val="clear"/>
            <w:vAlign w:val="bottom"/>
          </w:tcPr>
          <w:p w14:paraId="369BDCB7">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详细要求</w:t>
            </w:r>
          </w:p>
        </w:tc>
        <w:tc>
          <w:tcPr>
            <w:tcW w:w="600" w:type="pct"/>
            <w:tcBorders>
              <w:top w:val="nil"/>
              <w:left w:val="single" w:color="D6DEE7" w:sz="6" w:space="0"/>
              <w:bottom w:val="single" w:color="D6DEE7" w:sz="6" w:space="0"/>
              <w:right w:val="single" w:color="D6DEE7" w:sz="6" w:space="0"/>
            </w:tcBorders>
            <w:shd w:val="clear"/>
            <w:vAlign w:val="bottom"/>
          </w:tcPr>
          <w:p w14:paraId="6435375B">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必要性</w:t>
            </w:r>
          </w:p>
        </w:tc>
        <w:tc>
          <w:tcPr>
            <w:tcW w:w="600" w:type="pct"/>
            <w:tcBorders>
              <w:top w:val="nil"/>
              <w:left w:val="single" w:color="D6DEE7" w:sz="6" w:space="0"/>
              <w:bottom w:val="single" w:color="D6DEE7" w:sz="6" w:space="0"/>
              <w:right w:val="single" w:color="D6DEE7" w:sz="6" w:space="0"/>
            </w:tcBorders>
            <w:shd w:val="clear"/>
            <w:vAlign w:val="bottom"/>
          </w:tcPr>
          <w:p w14:paraId="042C757E">
            <w:pPr>
              <w:keepNext w:val="0"/>
              <w:keepLines w:val="0"/>
              <w:widowControl/>
              <w:suppressLineNumbers w:val="0"/>
              <w:spacing w:line="21" w:lineRule="atLeast"/>
              <w:jc w:val="center"/>
              <w:textAlignment w:val="bottom"/>
              <w:rPr>
                <w:b w:val="0"/>
                <w:bCs w:val="0"/>
                <w:color w:val="A7ADB1"/>
              </w:rPr>
            </w:pPr>
            <w:r>
              <w:rPr>
                <w:rFonts w:ascii="宋体" w:hAnsi="宋体" w:eastAsia="宋体" w:cs="宋体"/>
                <w:b w:val="0"/>
                <w:bCs w:val="0"/>
                <w:color w:val="A7ADB1"/>
                <w:kern w:val="0"/>
                <w:sz w:val="24"/>
                <w:szCs w:val="24"/>
                <w:lang w:val="en-US" w:eastAsia="zh-CN" w:bidi="ar"/>
              </w:rPr>
              <w:t>操作</w:t>
            </w:r>
          </w:p>
        </w:tc>
      </w:tr>
      <w:tr w14:paraId="70161D6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684D1128">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福田英才荟政策申请表（企业）</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424ABAE4">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66358B3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3F04F10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在项目申报页面将基本信息填写完毕后点击上传申报材料列表上方的【打印申请表】按钮，打印盖章后扫描上传</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56755CD5">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220A72E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6AC3B8B9">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6A58511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福田区人力资源服务产业园支持申请表</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50F78E2E">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245BC7D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3AE615A0">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2393889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0E4EBD6E">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5571FABA">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5584DBAF">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申请人力资源服务机构营业执照</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67160700">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2443AC6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4F740235">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0D4FA4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2A27AC54">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7D9C402D">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0C4AADC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海外业务营收、增速相关佐证材料</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549E522">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5B115C1D">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验原件交复印件，盖章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3BB81F84">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1B772793">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5D90E44C">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4F1ACFC1">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150AE6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信用状况证明材料（包括但不限于从“国家企业信用信息公示系统”“信用中国”网站及“中国执行信息公开网”等官方平台下载的信用信息报告或查询截图）</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7AED5427">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028E498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打印（盖公章）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44E270AC">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1ED2785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49C189D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r w14:paraId="21FC9757">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00AF6702">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英才荟经办人授权备案表</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2FCB3018">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3077B810">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原件（盖公章）</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2457ED71">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7D28D097">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必填</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0611967B">
            <w:pPr>
              <w:keepNext w:val="0"/>
              <w:keepLines w:val="0"/>
              <w:widowControl/>
              <w:suppressLineNumbers w:val="0"/>
              <w:spacing w:line="21" w:lineRule="atLeast"/>
              <w:jc w:val="center"/>
              <w:textAlignment w:val="center"/>
              <w:rPr>
                <w:color w:val="666A75"/>
              </w:rPr>
            </w:pPr>
            <w:r>
              <w:rPr>
                <w:rFonts w:ascii="宋体" w:hAnsi="宋体" w:eastAsia="宋体" w:cs="宋体"/>
                <w:color w:val="FFAF00"/>
                <w:kern w:val="0"/>
                <w:sz w:val="21"/>
                <w:szCs w:val="21"/>
                <w:u w:val="none"/>
                <w:bdr w:val="none" w:color="auto" w:sz="0" w:space="0"/>
                <w:lang w:val="en-US" w:eastAsia="zh-CN" w:bidi="ar"/>
              </w:rPr>
              <w:t>模板下载</w:t>
            </w:r>
          </w:p>
        </w:tc>
      </w:tr>
      <w:tr w14:paraId="4138A60C">
        <w:tblPrEx>
          <w:tblBorders>
            <w:top w:val="single" w:color="D6DEE7" w:sz="6" w:space="0"/>
            <w:left w:val="single" w:color="D6DEE7" w:sz="6" w:space="0"/>
            <w:bottom w:val="single" w:color="D6DEE7" w:sz="6" w:space="0"/>
            <w:right w:val="single" w:color="D6DEE7" w:sz="6" w:space="0"/>
            <w:insideH w:val="none" w:color="auto" w:sz="0" w:space="0"/>
            <w:insideV w:val="none" w:color="auto" w:sz="0" w:space="0"/>
          </w:tblBorders>
          <w:shd w:val="clear"/>
          <w:tblCellMar>
            <w:top w:w="15" w:type="dxa"/>
            <w:left w:w="15" w:type="dxa"/>
            <w:bottom w:w="15" w:type="dxa"/>
            <w:right w:w="15" w:type="dxa"/>
          </w:tblCellMar>
        </w:tblPrEx>
        <w:tc>
          <w:tcPr>
            <w:tcW w:w="900" w:type="pct"/>
            <w:tcBorders>
              <w:top w:val="single" w:color="D6DEE7" w:sz="6" w:space="0"/>
              <w:left w:val="single" w:color="D6DEE7" w:sz="6" w:space="0"/>
              <w:bottom w:val="single" w:color="D6DEE7" w:sz="6" w:space="0"/>
              <w:right w:val="single" w:color="D6DEE7" w:sz="6" w:space="0"/>
            </w:tcBorders>
            <w:shd w:val="clear"/>
            <w:vAlign w:val="center"/>
          </w:tcPr>
          <w:p w14:paraId="3B34B1A9">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福田区主管部门要求提供的其他必要材料</w:t>
            </w:r>
          </w:p>
        </w:tc>
        <w:tc>
          <w:tcPr>
            <w:tcW w:w="900" w:type="pct"/>
            <w:tcBorders>
              <w:top w:val="single" w:color="D6DEE7" w:sz="6" w:space="0"/>
              <w:left w:val="single" w:color="D6DEE7" w:sz="6" w:space="0"/>
              <w:bottom w:val="single" w:color="D6DEE7" w:sz="6" w:space="0"/>
              <w:right w:val="single" w:color="D6DEE7" w:sz="6" w:space="0"/>
            </w:tcBorders>
            <w:shd w:val="clear"/>
            <w:vAlign w:val="center"/>
          </w:tcPr>
          <w:p w14:paraId="2EE78FAC">
            <w:pPr>
              <w:jc w:val="center"/>
              <w:rPr>
                <w:rFonts w:hint="eastAsia" w:ascii="宋体"/>
                <w:color w:val="666A75"/>
                <w:sz w:val="24"/>
                <w:szCs w:val="24"/>
              </w:rPr>
            </w:pPr>
          </w:p>
        </w:tc>
        <w:tc>
          <w:tcPr>
            <w:tcW w:w="750" w:type="pct"/>
            <w:tcBorders>
              <w:top w:val="single" w:color="D6DEE7" w:sz="6" w:space="0"/>
              <w:left w:val="single" w:color="D6DEE7" w:sz="6" w:space="0"/>
              <w:bottom w:val="single" w:color="D6DEE7" w:sz="6" w:space="0"/>
              <w:right w:val="single" w:color="D6DEE7" w:sz="6" w:space="0"/>
            </w:tcBorders>
            <w:shd w:val="clear"/>
            <w:vAlign w:val="center"/>
          </w:tcPr>
          <w:p w14:paraId="1DD75EA1">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按要求提供</w:t>
            </w:r>
          </w:p>
        </w:tc>
        <w:tc>
          <w:tcPr>
            <w:tcW w:w="1249" w:type="pct"/>
            <w:tcBorders>
              <w:top w:val="single" w:color="D6DEE7" w:sz="6" w:space="0"/>
              <w:left w:val="single" w:color="D6DEE7" w:sz="6" w:space="0"/>
              <w:bottom w:val="single" w:color="D6DEE7" w:sz="6" w:space="0"/>
              <w:right w:val="single" w:color="D6DEE7" w:sz="6" w:space="0"/>
            </w:tcBorders>
            <w:shd w:val="clear"/>
            <w:vAlign w:val="center"/>
          </w:tcPr>
          <w:p w14:paraId="4E0D6C9B">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申请材料需全部上传电子文档，电子文档的命名与材料名称一致</w:t>
            </w: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6708C96B">
            <w:pPr>
              <w:jc w:val="center"/>
              <w:rPr>
                <w:rFonts w:hint="eastAsia" w:ascii="宋体"/>
                <w:color w:val="666A75"/>
                <w:sz w:val="24"/>
                <w:szCs w:val="24"/>
              </w:rPr>
            </w:pPr>
          </w:p>
        </w:tc>
        <w:tc>
          <w:tcPr>
            <w:tcW w:w="600" w:type="pct"/>
            <w:tcBorders>
              <w:top w:val="single" w:color="D6DEE7" w:sz="6" w:space="0"/>
              <w:left w:val="single" w:color="D6DEE7" w:sz="6" w:space="0"/>
              <w:bottom w:val="single" w:color="D6DEE7" w:sz="6" w:space="0"/>
              <w:right w:val="single" w:color="D6DEE7" w:sz="6" w:space="0"/>
            </w:tcBorders>
            <w:shd w:val="clear"/>
            <w:vAlign w:val="center"/>
          </w:tcPr>
          <w:p w14:paraId="41FEDFFA">
            <w:pPr>
              <w:keepNext w:val="0"/>
              <w:keepLines w:val="0"/>
              <w:widowControl/>
              <w:suppressLineNumbers w:val="0"/>
              <w:spacing w:line="21" w:lineRule="atLeast"/>
              <w:jc w:val="center"/>
              <w:textAlignment w:val="center"/>
              <w:rPr>
                <w:color w:val="666A75"/>
              </w:rPr>
            </w:pPr>
            <w:r>
              <w:rPr>
                <w:rFonts w:ascii="宋体" w:hAnsi="宋体" w:eastAsia="宋体" w:cs="宋体"/>
                <w:color w:val="666A75"/>
                <w:kern w:val="0"/>
                <w:sz w:val="24"/>
                <w:szCs w:val="24"/>
                <w:lang w:val="en-US" w:eastAsia="zh-CN" w:bidi="ar"/>
              </w:rPr>
              <w:t>-</w:t>
            </w:r>
          </w:p>
        </w:tc>
      </w:tr>
    </w:tbl>
    <w:p w14:paraId="0D7D0E0B">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拨付材料</w:t>
      </w:r>
    </w:p>
    <w:p w14:paraId="46DAF28C">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暂无拨付材料</w:t>
      </w:r>
    </w:p>
    <w:p w14:paraId="430295F2">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限制和除外</w:t>
      </w:r>
    </w:p>
    <w:p w14:paraId="23161E2D">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暂无</w:t>
      </w:r>
    </w:p>
    <w:p w14:paraId="504187B7">
      <w:pPr>
        <w:pStyle w:val="3"/>
        <w:keepNext w:val="0"/>
        <w:keepLines w:val="0"/>
        <w:widowControl/>
        <w:suppressLineNumbers w:val="0"/>
        <w:pBdr>
          <w:bottom w:val="none" w:color="auto" w:sz="0" w:space="0"/>
        </w:pBdr>
        <w:spacing w:line="15" w:lineRule="atLeast"/>
        <w:jc w:val="left"/>
        <w:rPr>
          <w:b/>
          <w:bCs/>
          <w:color w:val="3A3B46"/>
        </w:rPr>
      </w:pPr>
      <w:r>
        <w:rPr>
          <w:b/>
          <w:bCs/>
          <w:i w:val="0"/>
          <w:iCs w:val="0"/>
          <w:caps w:val="0"/>
          <w:color w:val="3A3B46"/>
          <w:spacing w:val="0"/>
          <w:shd w:val="clear" w:fill="FFFFFF"/>
        </w:rPr>
        <w:t>补充说明</w:t>
      </w:r>
    </w:p>
    <w:p w14:paraId="15E8DE06">
      <w:pPr>
        <w:pStyle w:val="4"/>
        <w:keepNext w:val="0"/>
        <w:keepLines w:val="0"/>
        <w:widowControl/>
        <w:suppressLineNumbers w:val="0"/>
        <w:spacing w:beforeAutospacing="1" w:after="0" w:afterAutospacing="1"/>
        <w:ind w:left="0" w:right="0"/>
        <w:rPr>
          <w:color w:val="3A3B46"/>
          <w:spacing w:val="-13"/>
        </w:rPr>
      </w:pPr>
      <w:r>
        <w:rPr>
          <w:rFonts w:hint="default" w:ascii="Helvetica" w:hAnsi="Helvetica" w:eastAsia="Helvetica" w:cs="Helvetica"/>
          <w:i w:val="0"/>
          <w:iCs w:val="0"/>
          <w:caps w:val="0"/>
          <w:color w:val="3A3B46"/>
          <w:spacing w:val="-13"/>
          <w:sz w:val="21"/>
          <w:szCs w:val="21"/>
          <w:shd w:val="clear" w:fill="FFFFFF"/>
        </w:rPr>
        <w:t>【入驻机构支持申报程序】</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（一）网上申请。申请人力资源服务机构通过“福田区企业服务平台”（https://qfzx.szft.gov.cn）填报并提交申请信息，上传相关资料。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（二）预审。区人力资源局进行信息预审，就申请人力资源服务机构所申请支持项目是否符合条件，在申请人力资源服务机构提交申请后10个工作日内作出受理、不受理、退回处理的决定。</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（三）材料提交。符合受理条件的人力资源服务机构在预审通过后的10个工作日内向区人力资源局提交纸质材料。</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（四）主管部门审核确认。区人力资源局根据相关政策规定和本申请指南规定的条件，按照工作分工及程序审核对人力资源服务机构提交纸质材料和申请信息进行审核。</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（五）公示。根据审核结果，对符合条件的申请人力资源服务机构在“福田政府在线”公示5个工作日；公示不通过的，本次申请终止。</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在公示过程中如有异议产生，区人力资源局有权要求申请人力资源服务机构提供相关证明材料对异议问题进行补充说明，申请人力资源服务机构有配合区人力资源局进行异议审查的义务，否则视为自动放弃申请。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（六）拨款。经公示无异议或异议不成立的，由区人力资源局按照规定将相应支持款拨付至申请人力资源服务机构的银行账户。</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【办理提示】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（一）递交材料地点。福田区人力资源局业务部门地址：福田区中康路136号深圳新一代产业园4栋2层（地铁：地铁站：上梅林站B口（4号，9号线）、 孖岭站D口（10号线）、 翰岭站B口（6号线）。</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（二）窗口办理时间。工作日上午9：00-12：00，下午14：00-18：00。</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（三）办理时限。审核时限为30个工作日，以预审通过后收到人力资源服务机构正式提交的纸质申请材料时间起算。资金审批及公示通过后集中组织发放。</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【其他说明】</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一）福田区人力资源服务产业园（专业楼宇）支持资金从“福田英才荟”专项经费中列支，由福田区人力资源服务产业园或入驻人力资源服务机构向福田区人力资源局提出扶持申请。同一项目已获我区其他资金支持的，本政策不再支持。</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（二）本申请指南所指支持资金为税前金额，项目资金量受本年度财政预算安排总量的控制和调整，支持标准存在调整可能。</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（三）福田区人力资源局可依据本申请指南制定具体业务实施细则、操作指引等。</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（四）享受本政策单次支持额度达到30万元的人力资源服务机构，或1年内累计支持金额达到100万元的人力资源服务机构，应签订书面监管协议，并配合相关职能部门履行好社会责任。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（五）申报单位应遵守法律法规，且不得有以下情形之一：</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1.有危害中华人民共和国统一、安全、荣誉和利益的行为；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2.在经营异常名录内；</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3.被列为失信被执行人；</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4.被依法依规列入严重失信主体名单。</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六）人力资源服务机构在申报、执行受支持项目过程中存在弄虚作假、拒绝配合产业资源绩效评价和监督检查、违反书面监管协议、隐瞒严重失信行为等情形的，或经主管部门认定存在故意逃避监管违约责任情形的，视同为违反书面监管协议，由主管部门取消、追回支持资金等资源，五年内不得申报福田区人才政策支持。触犯法律的，依法追究法律责任。</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（七）本申请指南由福田区人力资源局负责解释，咨询电话：0755-83456501。</w:t>
      </w:r>
      <w:r>
        <w:rPr>
          <w:rFonts w:hint="default" w:ascii="Helvetica" w:hAnsi="Helvetica" w:eastAsia="Helvetica" w:cs="Helvetica"/>
          <w:i w:val="0"/>
          <w:iCs w:val="0"/>
          <w:caps w:val="0"/>
          <w:color w:val="3A3B46"/>
          <w:spacing w:val="-13"/>
          <w:sz w:val="21"/>
          <w:szCs w:val="21"/>
          <w:shd w:val="clear" w:fill="FFFFFF"/>
        </w:rPr>
        <w:br w:type="textWrapping"/>
      </w:r>
      <w:r>
        <w:rPr>
          <w:rFonts w:hint="default" w:ascii="Helvetica" w:hAnsi="Helvetica" w:eastAsia="Helvetica" w:cs="Helvetica"/>
          <w:i w:val="0"/>
          <w:iCs w:val="0"/>
          <w:caps w:val="0"/>
          <w:color w:val="3A3B46"/>
          <w:spacing w:val="-13"/>
          <w:sz w:val="21"/>
          <w:szCs w:val="21"/>
          <w:shd w:val="clear" w:fill="FFFFFF"/>
        </w:rPr>
        <w:t>（八）本指南有效期自发布之日起至2026年12月31日止，《关于实施福田英才荟政策的若干措施（2025）》有效期内，指南将按年度更新。</w:t>
      </w:r>
    </w:p>
    <w:p w14:paraId="664EB6C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9419E"/>
    <w:rsid w:val="0BD8017E"/>
    <w:rsid w:val="0FF9419E"/>
    <w:rsid w:val="264542D6"/>
    <w:rsid w:val="303654A5"/>
    <w:rsid w:val="309148BA"/>
    <w:rsid w:val="3BB37481"/>
    <w:rsid w:val="502E071A"/>
    <w:rsid w:val="5E6934F3"/>
    <w:rsid w:val="67673E36"/>
    <w:rsid w:val="6D0E2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2026-01-27T01:34:00Z</dcterms:created>
  <dc:creator>柒芪杞讫</dc:creator>
  <cp:lastModifiedBy>柒芪杞讫</cp:lastModifiedBy>
  <dcterms:modified xsi:type="dcterms:W3CDTF">2026-01-27T02:25:09Z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796CE1522AA945DD8169973F082ED56A_13</vt:lpwstr>
  </property>
  <property fmtid="{D5CDD505-2E9C-101B-9397-08002B2CF9AE}" pid="4" name="KSOTemplateDocerSaveRecord">
    <vt:lpwstr>eyJoZGlkIjoiMmQyZjVhZDc4ZjVlYTAwNDU1NWViYjRiMWE2NWNhNmYiLCJ1c2VySWQiOiIxNjExOTc5NzE1In0=</vt:lpwstr>
  </property>
</Properties>
</file>