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F28D4">
      <w:pPr>
        <w:pStyle w:val="2"/>
        <w:keepNext w:val="0"/>
        <w:keepLines w:val="0"/>
        <w:widowControl/>
        <w:suppressLineNumbers w:val="0"/>
        <w:spacing w:after="0" w:afterAutospacing="0" w:line="17" w:lineRule="atLeast"/>
        <w:ind w:left="0" w:right="0"/>
        <w:rPr>
          <w:color w:val="3A3B46"/>
          <w:spacing w:val="-22"/>
        </w:rPr>
      </w:pPr>
      <w:bookmarkStart w:id="0" w:name="_GoBack"/>
      <w:r>
        <w:rPr>
          <w:i w:val="0"/>
          <w:iCs w:val="0"/>
          <w:caps w:val="0"/>
          <w:color w:val="3A3B46"/>
          <w:spacing w:val="-22"/>
          <w:bdr w:val="none" w:color="auto" w:sz="0" w:space="0"/>
          <w:shd w:val="clear" w:fill="FFFFFF"/>
        </w:rPr>
        <w:t>人力资源服务产业园（专业楼宇）-园区认定支持</w:t>
      </w:r>
    </w:p>
    <w:bookmarkEnd w:id="0"/>
    <w:p w14:paraId="72BEFFDA">
      <w:pPr>
        <w:pStyle w:val="4"/>
        <w:keepNext w:val="0"/>
        <w:keepLines w:val="0"/>
        <w:widowControl/>
        <w:suppressLineNumbers w:val="0"/>
        <w:spacing w:before="0" w:beforeAutospacing="0" w:after="0" w:afterAutospacing="0"/>
        <w:ind w:left="0" w:right="0"/>
        <w:rPr>
          <w:color w:val="A7ADB1"/>
          <w:spacing w:val="-11"/>
        </w:rPr>
      </w:pPr>
      <w:r>
        <w:rPr>
          <w:rFonts w:ascii="Helvetica" w:hAnsi="Helvetica" w:eastAsia="Helvetica" w:cs="Helvetica"/>
          <w:i w:val="0"/>
          <w:iCs w:val="0"/>
          <w:caps w:val="0"/>
          <w:color w:val="A7ADB1"/>
          <w:spacing w:val="-11"/>
          <w:sz w:val="21"/>
          <w:szCs w:val="21"/>
          <w:shd w:val="clear" w:fill="FFFFFF"/>
        </w:rPr>
        <w:t>受理时间：2026-01-23 14:59:00至2026-12-31 18:00:00</w:t>
      </w:r>
    </w:p>
    <w:p w14:paraId="517344A3">
      <w:pPr>
        <w:keepNext w:val="0"/>
        <w:keepLines w:val="0"/>
        <w:widowControl/>
        <w:suppressLineNumbers w:val="0"/>
        <w:pBdr>
          <w:bottom w:val="single" w:color="F9F9F9" w:sz="48" w:space="0"/>
          <w:right w:val="none" w:color="auto" w:sz="0" w:space="0"/>
        </w:pBdr>
        <w:shd w:val="clear" w:fill="FFFFFF"/>
        <w:spacing w:after="0" w:afterAutospacing="0"/>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在线申报 </w:t>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收藏</w:t>
      </w:r>
    </w:p>
    <w:p w14:paraId="1EE4C98B">
      <w:pPr>
        <w:pStyle w:val="7"/>
      </w:pPr>
      <w:r>
        <w:t>窗体顶端</w:t>
      </w:r>
    </w:p>
    <w:p w14:paraId="2C66F43C">
      <w:pPr>
        <w:pStyle w:val="8"/>
      </w:pPr>
      <w:r>
        <w:t>窗体底端</w:t>
      </w:r>
    </w:p>
    <w:p w14:paraId="54C9988D">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项目说明</w:t>
      </w:r>
    </w:p>
    <w:p w14:paraId="022CC1BB">
      <w:pPr>
        <w:pStyle w:val="4"/>
        <w:keepNext w:val="0"/>
        <w:keepLines w:val="0"/>
        <w:widowControl/>
        <w:suppressLineNumbers w:val="0"/>
        <w:spacing w:before="0"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【政策内容】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人力资源服务产业园（专业楼宇）支持。支持建设人力资源服务产业园，为人才培养、人才培训、人才交流、人才引进提供发展规划引导、政策激励、环境优化、组织协调以及监督管理等支持，每年给予不超过1000万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【适用范围】</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福田区人力资源服务产业园（专业楼宇）的申报、认定、支持、考核及相关管理工作，在经认定为福田区人力资源服务产业园（专业楼宇）内的人力资源服务企业（机构）的支持、奖励、补贴及相关管理工作，适用本申请指南。</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其中，人力资源服务企业（机构）指人力资源招聘、就业和创业指导，人力资源和社会保障事务代理，人力资源培训、劳务派遣、人力资源测评、人力资源管理咨询、人力资源服务外包、高级人才寻访、人力资源信息软件服务等人力资源服务企业（机构），以下统称为人力资源服务机构。</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【支持事项】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（一）园区支持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园区认定支持。经认定为区级人力资源服务产业园（专业楼宇）的，给予园区运营单位最高一次性100万元的认定支持。获得国家级、省级、市级人力资源服务产业园认定的，除市级政策支持外，分别给予一次性60万元、40万元、20万元的配套支持。获得国家级、省级或市级认定前已享受低一级支持的，仅予以差额配套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2.园区运营奖励。产业园每年参加综合考核，考核结果分为“优秀”、“良好”、“合格”和“不合格”四种，根据考核结果给予运营单位最高100万元的奖励。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（二）入驻机构支持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1.入驻支持。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入园首次支持。签订租约合同时长不低于3年的人力资源服务机构（适用于符合政策支持条件，具有独立法人资格、健全的财务制度、实行独立核算的人力资源服务机构）根据实际租用面积给予一次性入园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（2）驻园运营支持。根据驻园人力资源服务机构营业收入情况和实际租用面积每年给予驻园运营支持。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（1）和（2）两项支持合计最高300万元。</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2.产业空间支持。对福田区人力资源服务产业园（专业楼宇）入驻人力资源服务机构，根据其营业收入情况给予每年最高300万元的产业空间支持。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3.鼓励创新奖励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（1）标准化建设奖励。对参与国际、国家行业标准制定且标准出台执行的驻园人力资源服务机构，根据其具体发挥的作用等情况，分别给予最高20万元、10万元的奖励。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（2）业务和产品创新奖励。对荣获国家和省级科技创新奖项的驻园人力资源服务机构，分别给予20万元、10万元的奖励。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（3）研发支持。对积极运用人工智能、云计算、大数据、区块链、移动终端、O2O等信息技术，推动人力资源服务产业发展的驻园人力资源服务机构，每年按照研发总投入的10%给予补贴，支持额最高100万元。</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 行业活动补贴。对市场主体（含园区运营单位、驻园人力资源服务机构）、行业协会、中介组织在园区内，承办国家级、省级学术研讨和业务交流活动，提前经区业务主管部门备案同意的，给予一次性最高国家级20万元、省级10万元的补贴；举行人才交流服务活动的商协会等社会组织，符合人才服务联盟要求的，按照《关于实施福田英才荟的若干措施（2025）》关于人才服务联盟的支持政策给予相应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5.海外拓展补贴。鼓励有条件的驻园人力资源服务机构“走出去”，与国际知名人力资源服务机构开展合作，建立海外人力资源服务网络，开拓国际市场，且海外业务营收连续2年增长超过50%的，给予一次性最高50万的补贴。</w:t>
      </w:r>
    </w:p>
    <w:p w14:paraId="6AEB4D7B">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申报条件及支持额度</w:t>
      </w:r>
    </w:p>
    <w:p w14:paraId="752B52DD">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【申请条件】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（一）认定申请条件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福田区人力资源服务产业园（专业楼宇）应当具备但不限于以下功能：</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第一，甄选优质机构入驻。积极引进国内外成熟型人力资源服务机构和潜力型人力资源服务机构，引导人力资源服务业集群化发展；</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第二，提供优质办公条件。为人力资源服务机构提供优质优惠的经营场地，功能齐全的公共配套空间，以及良好的物业管理和后勤保障，园区所在地点交通便捷、生活便利；</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第三，开展增值服务。为入驻人力资源服务机构提供商事登记、管理咨询、上下游资源链接、投融资等服务，力争引进行政服务功能；举办论坛、峰会、路演、学术研讨、培训、沙龙等人力资源服务行业交流活动。</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园区（楼宇）等载体在同时满足以下条件后，可申请认定为福田区人力资源服务产业园（专业楼宇）：</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1.场地产权清晰或者租赁备案手续完备，且入驻的人力资源服务机构可在房屋租赁部门办理租赁备案手续；场地作为商务办公用途使用（租用）剩余期限不少于5年，在使用期内不得转售或改变用途；</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园区有专业的运营管理单位、团队和完善的规章制度，且运营单位或者管理单位应当为依法注册、合法经营的企、事业法人单位，在其运营的产业园内有固定办公场地，并配备6名以上专职从事人力资源服务产业园（专业楼宇）运营相关工作的人员；</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3.入驻人力资源服务机构不少于10家；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4.所有入驻园区的人力资源服务机构在福田区内形成的年度营业收入总额不低于1亿人民币；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5.园区功能分区涵盖企业集聚区、公共配套区、政务服务区、形象展示区等部分，总共使用面积不低于10000平方米。其中，企业聚集区入驻人力资源服务机构，公共配套区设置多功能会议室和若干培训室；政务服务区提供政府公共服务以及市场化人才服务；形象展示区设置人力资源服务产业园展板、视频展示厅等。</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6. 园区为入驻人力资源服务机构在市场价格基础上提供租金优惠，下浮比例不低于10%，5年内每年给予人力资源服务机构的租金价格递增幅度不超过5%，同时给予人力资源服务机构满足上述条件下的优先续租权。</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（二）支持申请条件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申请支持须符合以下条件之一：</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1.运营单位为依法注册、合法经营的企、事业法人单位，运营经福田区人力资源局认定的福田区人力资源服务产业园（专业楼宇）；</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2.人力资源服务机构进驻经认定的福田区人力资源服务产业园（专业楼宇），且适用于符合政策支持条件，具有独立法人资格、健全的财务制度、实行独立核算的人力资源服务机构。</w:t>
      </w:r>
    </w:p>
    <w:p w14:paraId="2E4713E7">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联系方式</w:t>
      </w:r>
    </w:p>
    <w:p w14:paraId="537E1DDF">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0755-83456501</w:t>
      </w:r>
    </w:p>
    <w:p w14:paraId="68037A43">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申请材料</w:t>
      </w:r>
    </w:p>
    <w:p w14:paraId="778A8E40">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材料清单，请严格按照要求准备并提交材料</w:t>
      </w:r>
    </w:p>
    <w:tbl>
      <w:tblPr>
        <w:tblW w:w="0" w:type="auto"/>
        <w:tblInd w:w="0" w:type="dxa"/>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3779"/>
        <w:gridCol w:w="481"/>
        <w:gridCol w:w="848"/>
        <w:gridCol w:w="2497"/>
        <w:gridCol w:w="355"/>
        <w:gridCol w:w="376"/>
      </w:tblGrid>
      <w:tr w14:paraId="48AF214E">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left w:val="single" w:color="D6DEE7" w:sz="6" w:space="0"/>
              <w:bottom w:val="single" w:color="D6DEE7" w:sz="6" w:space="0"/>
              <w:right w:val="single" w:color="D6DEE7" w:sz="6" w:space="0"/>
            </w:tcBorders>
            <w:shd w:val="clear"/>
            <w:vAlign w:val="bottom"/>
          </w:tcPr>
          <w:p w14:paraId="7840D8D9">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材料名称</w:t>
            </w:r>
          </w:p>
        </w:tc>
        <w:tc>
          <w:tcPr>
            <w:tcW w:w="0" w:type="auto"/>
            <w:tcBorders>
              <w:top w:val="nil"/>
              <w:left w:val="single" w:color="D6DEE7" w:sz="6" w:space="0"/>
              <w:bottom w:val="single" w:color="D6DEE7" w:sz="6" w:space="0"/>
              <w:right w:val="single" w:color="D6DEE7" w:sz="6" w:space="0"/>
            </w:tcBorders>
            <w:shd w:val="clear"/>
            <w:vAlign w:val="bottom"/>
          </w:tcPr>
          <w:p w14:paraId="214BB8A1">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材料出具单位</w:t>
            </w:r>
          </w:p>
        </w:tc>
        <w:tc>
          <w:tcPr>
            <w:tcW w:w="0" w:type="auto"/>
            <w:tcBorders>
              <w:top w:val="nil"/>
              <w:left w:val="single" w:color="D6DEE7" w:sz="6" w:space="0"/>
              <w:bottom w:val="single" w:color="D6DEE7" w:sz="6" w:space="0"/>
              <w:right w:val="single" w:color="D6DEE7" w:sz="6" w:space="0"/>
            </w:tcBorders>
            <w:shd w:val="clear"/>
            <w:vAlign w:val="bottom"/>
          </w:tcPr>
          <w:p w14:paraId="3AAEBE16">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材料形式</w:t>
            </w:r>
          </w:p>
        </w:tc>
        <w:tc>
          <w:tcPr>
            <w:tcW w:w="0" w:type="auto"/>
            <w:tcBorders>
              <w:top w:val="nil"/>
              <w:left w:val="single" w:color="D6DEE7" w:sz="6" w:space="0"/>
              <w:bottom w:val="single" w:color="D6DEE7" w:sz="6" w:space="0"/>
              <w:right w:val="single" w:color="D6DEE7" w:sz="6" w:space="0"/>
            </w:tcBorders>
            <w:shd w:val="clear"/>
            <w:vAlign w:val="bottom"/>
          </w:tcPr>
          <w:p w14:paraId="39CFC00A">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详细要求</w:t>
            </w:r>
          </w:p>
        </w:tc>
        <w:tc>
          <w:tcPr>
            <w:tcW w:w="0" w:type="auto"/>
            <w:tcBorders>
              <w:top w:val="nil"/>
              <w:left w:val="single" w:color="D6DEE7" w:sz="6" w:space="0"/>
              <w:bottom w:val="single" w:color="D6DEE7" w:sz="6" w:space="0"/>
              <w:right w:val="single" w:color="D6DEE7" w:sz="6" w:space="0"/>
            </w:tcBorders>
            <w:shd w:val="clear"/>
            <w:vAlign w:val="bottom"/>
          </w:tcPr>
          <w:p w14:paraId="1EFF8EA9">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必要性</w:t>
            </w:r>
          </w:p>
        </w:tc>
        <w:tc>
          <w:tcPr>
            <w:tcW w:w="0" w:type="auto"/>
            <w:tcBorders>
              <w:top w:val="nil"/>
              <w:left w:val="single" w:color="D6DEE7" w:sz="6" w:space="0"/>
              <w:bottom w:val="single" w:color="D6DEE7" w:sz="6" w:space="0"/>
              <w:right w:val="single" w:color="D6DEE7" w:sz="6" w:space="0"/>
            </w:tcBorders>
            <w:shd w:val="clear"/>
            <w:vAlign w:val="bottom"/>
          </w:tcPr>
          <w:p w14:paraId="2EF749AF">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操作</w:t>
            </w:r>
          </w:p>
        </w:tc>
      </w:tr>
      <w:tr w14:paraId="561A8387">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27026FE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福田英才荟政策申请表（企业）</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24FCEA5">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16C581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0BB266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在项目申报页面将基本信息填写完毕后点击上传申报材料列表上方的【打印申请表】按钮，打印盖章后扫描上传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A34AF2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BE649B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2B1EB9F2">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5CA2D1F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福田区人力资源服务产业园支持申请表</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BD0F8D5">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9C1A27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打印并盖章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FB146F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按附件模版填写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95FF0C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C152447">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7F4E60E6">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56BDB42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申请企业营业执照</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5608365">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713673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验原件交复印件，盖章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042542E">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CD99D90">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7C1084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55F1FD76">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6DF8F916">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产业园启动投入佐证材料（运营人力成本、管理咨询支出等财务凭证、租金下浮成本说明）</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249137A">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AA6182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验原件交复印件，盖章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8870EAC">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A21A08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FD8C80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027E9B18">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248BD756">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国家、省、市级产业园认定证明材料（未获得相关认定的无需提交）</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7C788DC">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3F73AB6">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验原件交复印件，盖章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E0E4095">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5150029">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11BF461">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6842B48A">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4E5D6F5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信用状况证明材料（包括但不限于从“国家企业信用信息公示系统”“信用中国”网站及“中国执行信息公开网”等官方平台下载的信用信息报告或查询截图）</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FE9B0A0">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82169B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打印（盖公章）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E361230">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ED3D03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F8425F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57A2514E">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573C5D9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英才荟经办人授权备案表</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D6BAD36">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E365BA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A9551D7">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B17172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8E21121">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41FD67BA">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337D77D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福田区主管部门要求提供的其他必要材料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AA9FBCB">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972F916">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按要求提供</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8ECB5B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申请材料需全部上传电子文档，电子文档的命名与材料名称一致</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5786F08">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9795C7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bl>
    <w:p w14:paraId="76551918">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拨付材料</w:t>
      </w:r>
    </w:p>
    <w:p w14:paraId="05CF0971">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暂无拨付材料</w:t>
      </w:r>
    </w:p>
    <w:p w14:paraId="58DD8ED4">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限制和除外</w:t>
      </w:r>
    </w:p>
    <w:p w14:paraId="558512B1">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w:t>
      </w:r>
    </w:p>
    <w:p w14:paraId="64EB1A73">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补充说明</w:t>
      </w:r>
    </w:p>
    <w:p w14:paraId="0F7502FD">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【入驻机构支持申报程序】</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（一）网上申请。申请人力资源服务机构通过“福田区企业服务平台”（https://qfzx.szft.gov.cn）填报并提交申请信息，上传相关资料。</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（二）预审。区人力资源局进行信息预审，就申请人力资源服务机构所申请支持项目是否符合条件，在申请人力资源服务机构提交申请后10个工作日内作出受理、不受理、退回处理的决定。</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（三）材料提交。符合受理条件的人力资源服务机构在预审通过后的10个工作日内向区人力资源局提交纸质材料。</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（四）主管部门审核确认。区人力资源局根据相关政策规定和本申请指南规定的条件，按照工作分工及程序审核对人力资源服务机构提交纸质材料和申请信息进行审核。</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（五）公示。根据审核结果，对符合条件的申请人力资源服务机构在“福田政府在线”公示5个工作日；公示不通过的，本次申请终止。</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在公示过程中如有异议产生，区人力资源局有权要求申请人力资源服务机构提供相关证明材料对异议问题进行补充说明，申请人力资源服务机构有配合区人力资源局进行异议审查的义务，否则视为自动放弃申请。</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（六）拨款。经公示无异议或异议不成立的，由区人力资源局按照规定将相应支持款拨付至申请人力资源服务机构的银行账户。</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【办理提示】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（一）递交材料地点。福田区人力资源局业务部门地址：福田区中康路136号深圳新一代产业园4栋2层（地铁：地铁站：上梅林站B口（4号，9号线）、 孖岭站D口（10号线）、 翰岭站B口（6号线）。</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（二）窗口办理时间。工作日上午9：00-12：00，下午14：00-18：00。</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（三）办理时限。审核时限为30个工作日，以预审通过后收到人力资源服务机构正式提交的纸质申请材料时间起算。资金审批及公示通过后集中组织发放。</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【其他说明】</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福田区人力资源服务产业园（专业楼宇）支持资金从“福田英才荟”专项经费中列支，由福田区人力资源服务产业园或入驻人力资源服务机构向福田区人力资源局提出扶持申请。同一项目已获我区其他资金支持的，本政策不再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（二）本申请指南所指支持资金为税前金额，项目资金量受本年度财政预算安排总量的控制和调整，支持标准存在调整可能。</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（三）福田区人力资源局可依据本申请指南制定具体业务实施细则、操作指引等。</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（四）享受本政策单次支持额度达到30万元的人力资源服务机构，或1年内累计支持金额达到100万元的人力资源服务机构，应签订书面监管协议，并配合相关职能部门履行好社会责任。</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（五）申报单位应遵守法律法规，且不得有以下情形之一：</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1.有危害中华人民共和国统一、安全、荣誉和利益的行为；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2.在经营异常名录内；</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3.被列为失信被执行人；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4.被依法依规列入严重失信主体名单。</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六）人力资源服务机构在申报、执行受支持项目过程中存在弄虚作假、拒绝配合产业资源绩效评价和监督检查、违反书面监管协议、隐瞒严重失信行为等情形的，或经主管部门认定存在故意逃避监管违约责任情形的，视同为违反书面监管协议，由主管部门取消、追回支持资金等资源，五年内不得申报福田区人才政策支持。触犯法律的，依法追究法律责任。</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（七）本申请指南由福田区人力资源局负责解释，咨询电话：0755-83456501。</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（八）本指南有效期自发布之日起至2026年12月31日止，《关于实施福田英才荟政策的若干措施（2025）》有效期内，指南将按年度更新。</w:t>
      </w:r>
    </w:p>
    <w:p w14:paraId="664EB6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9419E"/>
    <w:rsid w:val="0FF94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rPr>
  </w:style>
  <w:style w:type="paragraph" w:styleId="7">
    <w:name w:val=""/>
    <w:basedOn w:val="1"/>
    <w:next w:val="1"/>
    <w:uiPriority w:val="0"/>
    <w:pPr>
      <w:pBdr>
        <w:bottom w:val="single" w:color="auto" w:sz="6" w:space="1"/>
      </w:pBdr>
      <w:jc w:val="center"/>
    </w:pPr>
    <w:rPr>
      <w:rFonts w:ascii="Arial" w:eastAsia="宋体"/>
      <w:vanish/>
      <w:sz w:val="16"/>
    </w:rPr>
  </w:style>
  <w:style w:type="paragraph" w:styleId="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2026-01-27T01:34:00Z</dcterms:created>
  <dc:creator>柒芪杞讫</dc:creator>
  <cp:lastModifiedBy>柒芪杞讫</cp:lastModifiedBy>
  <dcterms:modified xsi:type="dcterms:W3CDTF">2026-01-27T01:35:00Z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8659C87B47604BFEBDB8FA969AA783AD_11</vt:lpwstr>
  </property>
  <property fmtid="{D5CDD505-2E9C-101B-9397-08002B2CF9AE}" pid="4" name="KSOTemplateDocerSaveRecord">
    <vt:lpwstr>eyJoZGlkIjoiMmQyZjVhZDc4ZjVlYTAwNDU1NWViYjRiMWE2NWNhNmYiLCJ1c2VySWQiOiIxNjExOTc5NzE1In0=</vt:lpwstr>
  </property>
</Properties>
</file>