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 xml:space="preserve"> </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pPr>
        <w:spacing w:line="560" w:lineRule="exact"/>
        <w:jc w:val="center"/>
        <w:outlineLvl w:val="0"/>
        <w:rPr>
          <w:rFonts w:hint="eastAsia" w:ascii="方正小标宋简体" w:hAnsi="方正小标宋简体" w:eastAsia="方正小标宋简体" w:cs="方正小标宋_GBK"/>
          <w:color w:val="auto"/>
          <w:w w:val="95"/>
          <w:sz w:val="44"/>
          <w:szCs w:val="44"/>
          <w:lang w:eastAsia="zh-CN"/>
        </w:rPr>
      </w:pPr>
      <w:r>
        <w:rPr>
          <w:rFonts w:hint="eastAsia" w:ascii="方正小标宋简体" w:hAnsi="方正小标宋简体" w:eastAsia="方正小标宋简体" w:cs="方正小标宋_GBK"/>
          <w:color w:val="auto"/>
          <w:w w:val="95"/>
          <w:sz w:val="44"/>
          <w:szCs w:val="44"/>
          <w:lang w:val="en-US" w:eastAsia="zh-CN"/>
        </w:rPr>
        <w:t>2025年全年</w:t>
      </w:r>
      <w:r>
        <w:rPr>
          <w:rFonts w:hint="eastAsia" w:ascii="方正小标宋简体" w:hAnsi="方正小标宋简体" w:eastAsia="方正小标宋简体" w:cs="方正小标宋_GBK"/>
          <w:color w:val="auto"/>
          <w:w w:val="95"/>
          <w:sz w:val="44"/>
          <w:szCs w:val="44"/>
          <w:lang w:eastAsia="zh-CN"/>
        </w:rPr>
        <w:t>鼓励营利性</w:t>
      </w:r>
    </w:p>
    <w:p>
      <w:pPr>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eastAsia="zh-CN"/>
        </w:rPr>
        <w:t>服务业企业做大做强</w:t>
      </w:r>
      <w:r>
        <w:rPr>
          <w:rFonts w:hint="eastAsia" w:ascii="方正小标宋简体" w:hAnsi="方正小标宋简体" w:eastAsia="方正小标宋简体" w:cs="方正小标宋_GBK"/>
          <w:sz w:val="44"/>
          <w:szCs w:val="44"/>
          <w:lang w:eastAsia="zh-CN"/>
        </w:rPr>
        <w:t>项目</w:t>
      </w:r>
      <w:r>
        <w:rPr>
          <w:rFonts w:hint="eastAsia" w:ascii="方正小标宋简体" w:hAnsi="方正小标宋简体" w:eastAsia="方正小标宋简体" w:cs="方正小标宋简体"/>
          <w:color w:val="000000"/>
          <w:sz w:val="44"/>
          <w:szCs w:val="44"/>
          <w:highlight w:val="none"/>
          <w:lang w:val="en-US" w:eastAsia="zh-CN"/>
        </w:rPr>
        <w:t>操作规程</w:t>
      </w:r>
      <w:bookmarkStart w:id="0" w:name="_GoBack"/>
      <w:bookmarkEnd w:id="0"/>
    </w:p>
    <w:p>
      <w:pPr>
        <w:widowControl/>
        <w:spacing w:beforeLines="0" w:after="200" w:afterLines="0" w:line="560" w:lineRule="exact"/>
        <w:ind w:firstLine="3200" w:firstLineChars="1000"/>
        <w:jc w:val="both"/>
        <w:rPr>
          <w:rFonts w:hint="eastAsia" w:ascii="楷体_GB2312" w:hAnsi="楷体_GB2312" w:eastAsia="楷体_GB2312" w:cs="楷体_GB2312"/>
          <w:color w:val="000000"/>
          <w:kern w:val="0"/>
          <w:sz w:val="32"/>
          <w:szCs w:val="32"/>
          <w:highlight w:val="none"/>
          <w:lang w:eastAsia="zh-CN" w:bidi="en-US"/>
        </w:rPr>
      </w:pPr>
      <w:r>
        <w:rPr>
          <w:rFonts w:hint="eastAsia" w:ascii="楷体_GB2312" w:hAnsi="楷体_GB2312" w:eastAsia="楷体_GB2312" w:cs="楷体_GB2312"/>
          <w:color w:val="000000"/>
          <w:kern w:val="0"/>
          <w:sz w:val="32"/>
          <w:szCs w:val="32"/>
          <w:highlight w:val="none"/>
          <w:lang w:eastAsia="zh-CN" w:bidi="en-US"/>
        </w:rPr>
        <w:t>（</w:t>
      </w:r>
      <w:r>
        <w:rPr>
          <w:rFonts w:hint="eastAsia" w:ascii="楷体_GB2312" w:hAnsi="楷体_GB2312" w:eastAsia="楷体_GB2312" w:cs="楷体_GB2312"/>
          <w:color w:val="000000"/>
          <w:kern w:val="0"/>
          <w:sz w:val="32"/>
          <w:szCs w:val="32"/>
          <w:highlight w:val="none"/>
          <w:lang w:val="en-US" w:eastAsia="zh-CN" w:bidi="en-US"/>
        </w:rPr>
        <w:t>2026年度</w:t>
      </w:r>
      <w:r>
        <w:rPr>
          <w:rFonts w:hint="eastAsia" w:ascii="楷体_GB2312" w:hAnsi="楷体_GB2312" w:eastAsia="楷体_GB2312" w:cs="楷体_GB2312"/>
          <w:color w:val="000000"/>
          <w:kern w:val="0"/>
          <w:sz w:val="32"/>
          <w:szCs w:val="32"/>
          <w:highlight w:val="none"/>
          <w:lang w:eastAsia="zh-CN" w:bidi="en-US"/>
        </w:rPr>
        <w:t>）</w:t>
      </w:r>
    </w:p>
    <w:p>
      <w:pPr>
        <w:jc w:val="center"/>
        <w:rPr>
          <w:rFonts w:eastAsia="黑体"/>
          <w:color w:val="000000"/>
          <w:sz w:val="32"/>
          <w:szCs w:val="32"/>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南山区营利性服务业企业培育工作，鼓励企业扎根南山、做大做强，推动辖区推动服务业实现质的有效提升和量的合理增长，依据《南山区促进产业高质量发展专项资金管理办法》《南山区2025年度激发市场活力稳住经济增长</w:t>
      </w:r>
    </w:p>
    <w:p>
      <w:pPr>
        <w:keepNext w:val="0"/>
        <w:keepLines w:val="0"/>
        <w:pageBreakBefore w:val="0"/>
        <w:kinsoku/>
        <w:wordWrap/>
        <w:overflowPunct/>
        <w:topLinePunct w:val="0"/>
        <w:autoSpaceDE/>
        <w:autoSpaceDN/>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专项工作方案》等文件规定，制定本操作规程。</w:t>
      </w:r>
    </w:p>
    <w:p>
      <w:pPr>
        <w:spacing w:line="600" w:lineRule="exact"/>
        <w:ind w:firstLine="640" w:firstLineChars="200"/>
        <w:outlineLvl w:val="0"/>
        <w:rPr>
          <w:rFonts w:hAnsi="仿宋" w:eastAsia="仿宋"/>
          <w:kern w:val="0"/>
          <w:sz w:val="32"/>
          <w:szCs w:val="32"/>
        </w:rPr>
      </w:pPr>
      <w:r>
        <w:rPr>
          <w:rFonts w:hint="eastAsia" w:hAnsi="黑体" w:eastAsia="黑体"/>
          <w:sz w:val="32"/>
          <w:szCs w:val="32"/>
        </w:rPr>
        <w:t>一、政策内容</w:t>
      </w:r>
    </w:p>
    <w:p>
      <w:pPr>
        <w:widowControl/>
        <w:spacing w:line="600" w:lineRule="exact"/>
        <w:ind w:firstLine="640" w:firstLineChars="200"/>
        <w:outlineLvl w:val="0"/>
        <w:rPr>
          <w:rFonts w:hint="eastAsia" w:hAnsi="黑体" w:eastAsia="黑体"/>
          <w:sz w:val="32"/>
          <w:szCs w:val="32"/>
        </w:rPr>
      </w:pPr>
      <w:r>
        <w:rPr>
          <w:rFonts w:hint="eastAsia" w:ascii="仿宋_GB2312" w:hAnsi="仿宋_GB2312" w:eastAsia="仿宋_GB2312" w:cs="仿宋_GB2312"/>
          <w:sz w:val="32"/>
          <w:szCs w:val="32"/>
          <w:lang w:val="en-US" w:eastAsia="zh-CN"/>
        </w:rPr>
        <w:t>对符合一定规模、增速条件的营利性服务业企业，分档给予最高1亿元奖励。</w:t>
      </w:r>
      <w:r>
        <w:rPr>
          <w:rFonts w:hint="eastAsia" w:hAnsi="黑体" w:eastAsia="黑体"/>
          <w:sz w:val="32"/>
          <w:szCs w:val="32"/>
        </w:rPr>
        <w:t xml:space="preserve">    </w:t>
      </w:r>
    </w:p>
    <w:p>
      <w:pPr>
        <w:widowControl/>
        <w:spacing w:line="600" w:lineRule="exact"/>
        <w:ind w:firstLine="640" w:firstLineChars="200"/>
        <w:outlineLvl w:val="0"/>
        <w:rPr>
          <w:rFonts w:eastAsia="黑体"/>
          <w:sz w:val="32"/>
          <w:szCs w:val="32"/>
        </w:rPr>
      </w:pPr>
      <w:r>
        <w:rPr>
          <w:rFonts w:hint="eastAsia" w:hAnsi="黑体" w:eastAsia="黑体"/>
          <w:sz w:val="32"/>
          <w:szCs w:val="32"/>
        </w:rPr>
        <w:t>二、资助方式</w:t>
      </w:r>
    </w:p>
    <w:p>
      <w:pPr>
        <w:widowControl/>
        <w:spacing w:line="600" w:lineRule="exact"/>
        <w:ind w:firstLine="537" w:firstLineChars="168"/>
        <w:rPr>
          <w:rFonts w:eastAsia="仿宋_GB2312"/>
          <w:sz w:val="32"/>
          <w:szCs w:val="32"/>
        </w:rPr>
      </w:pPr>
      <w:r>
        <w:rPr>
          <w:rFonts w:hint="eastAsia" w:eastAsia="仿宋_GB2312"/>
          <w:sz w:val="32"/>
          <w:szCs w:val="32"/>
        </w:rPr>
        <w:t>本项资助属于</w:t>
      </w:r>
      <w:r>
        <w:rPr>
          <w:rFonts w:hint="eastAsia" w:eastAsia="仿宋_GB2312"/>
          <w:sz w:val="32"/>
          <w:szCs w:val="32"/>
          <w:lang w:eastAsia="zh-CN"/>
        </w:rPr>
        <w:t>专项</w:t>
      </w:r>
      <w:r>
        <w:rPr>
          <w:rFonts w:hint="eastAsia" w:eastAsia="仿宋_GB2312"/>
          <w:sz w:val="32"/>
          <w:szCs w:val="32"/>
        </w:rPr>
        <w:t>类项目，资助资金的安排使用坚持公平、公开、公正的原则，实行自愿申报、科学决策和绩效评估的管理制度，采取无偿资助方式和事后补贴制，受资助项目无需验收。</w:t>
      </w:r>
    </w:p>
    <w:p>
      <w:pPr>
        <w:spacing w:line="560" w:lineRule="exact"/>
        <w:ind w:firstLine="640" w:firstLineChars="200"/>
        <w:outlineLvl w:val="0"/>
        <w:rPr>
          <w:rFonts w:ascii="仿宋_GB2312" w:eastAsia="仿宋_GB2312"/>
          <w:kern w:val="0"/>
          <w:sz w:val="32"/>
          <w:szCs w:val="32"/>
        </w:rPr>
      </w:pPr>
      <w:r>
        <w:rPr>
          <w:rFonts w:hint="eastAsia" w:hAnsi="黑体" w:eastAsia="黑体"/>
          <w:sz w:val="32"/>
          <w:szCs w:val="32"/>
        </w:rPr>
        <w:t>三、资助标准</w:t>
      </w:r>
    </w:p>
    <w:p>
      <w:pPr>
        <w:pageBreakBefore w:val="0"/>
        <w:widowControl/>
        <w:numPr>
          <w:ilvl w:val="0"/>
          <w:numId w:val="0"/>
        </w:numPr>
        <w:kinsoku/>
        <w:wordWrap/>
        <w:overflowPunct/>
        <w:topLinePunct w:val="0"/>
        <w:autoSpaceDE/>
        <w:autoSpaceDN/>
        <w:bidi w:val="0"/>
        <w:adjustRightInd/>
        <w:snapToGrid/>
        <w:spacing w:line="56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（一）增长贡献奖励</w:t>
      </w:r>
    </w:p>
    <w:p>
      <w:pPr>
        <w:widowControl/>
        <w:numPr>
          <w:ilvl w:val="0"/>
          <w:numId w:val="0"/>
        </w:numPr>
        <w:spacing w:line="560" w:lineRule="exact"/>
        <w:ind w:firstLine="640" w:firstLineChars="200"/>
        <w:rPr>
          <w:rFonts w:hint="eastAsia"/>
          <w:b w:val="0"/>
          <w:bCs/>
          <w:lang w:val="en-US" w:eastAsia="zh-CN"/>
        </w:rPr>
      </w:pPr>
      <w:r>
        <w:rPr>
          <w:rFonts w:hint="eastAsia" w:ascii="仿宋_GB2312" w:hAnsi="仿宋_GB2312" w:eastAsia="仿宋_GB2312" w:cs="仿宋_GB2312"/>
          <w:b w:val="0"/>
          <w:bCs/>
          <w:sz w:val="32"/>
          <w:szCs w:val="32"/>
        </w:rPr>
        <w:t>对</w:t>
      </w:r>
      <w:r>
        <w:rPr>
          <w:rFonts w:hint="eastAsia" w:ascii="仿宋_GB2312" w:hAnsi="仿宋_GB2312" w:eastAsia="仿宋_GB2312" w:cs="仿宋_GB2312"/>
          <w:b w:val="0"/>
          <w:bCs/>
          <w:sz w:val="32"/>
          <w:szCs w:val="32"/>
          <w:lang w:eastAsia="zh-CN"/>
        </w:rPr>
        <w:t>增速大于</w:t>
      </w:r>
      <w:r>
        <w:rPr>
          <w:rFonts w:hint="eastAsia" w:ascii="仿宋_GB2312" w:hAnsi="仿宋_GB2312" w:eastAsia="仿宋_GB2312" w:cs="仿宋_GB2312"/>
          <w:b w:val="0"/>
          <w:bCs/>
          <w:sz w:val="32"/>
          <w:szCs w:val="32"/>
          <w:lang w:val="en-US" w:eastAsia="zh-CN"/>
        </w:rPr>
        <w:t>10%的企业，</w:t>
      </w:r>
      <w:r>
        <w:rPr>
          <w:rFonts w:hint="eastAsia" w:ascii="仿宋_GB2312" w:hAnsi="仿宋_GB2312" w:eastAsia="仿宋_GB2312" w:cs="仿宋_GB2312"/>
          <w:b w:val="0"/>
          <w:bCs/>
          <w:sz w:val="32"/>
          <w:szCs w:val="32"/>
        </w:rPr>
        <w:t>按照其</w:t>
      </w:r>
      <w:r>
        <w:rPr>
          <w:rFonts w:hint="eastAsia" w:ascii="仿宋_GB2312" w:hAnsi="仿宋_GB2312" w:eastAsia="仿宋_GB2312" w:cs="仿宋_GB2312"/>
          <w:b w:val="0"/>
          <w:bCs/>
          <w:sz w:val="32"/>
          <w:szCs w:val="32"/>
          <w:lang w:eastAsia="zh-CN"/>
        </w:rPr>
        <w:t>全年营收超10%的增量部分给予</w:t>
      </w:r>
      <w:r>
        <w:rPr>
          <w:rFonts w:hint="eastAsia" w:ascii="仿宋_GB2312" w:hAnsi="仿宋_GB2312" w:eastAsia="仿宋_GB2312" w:cs="仿宋_GB2312"/>
          <w:b w:val="0"/>
          <w:bCs/>
          <w:sz w:val="32"/>
          <w:szCs w:val="32"/>
          <w:lang w:val="en-US" w:eastAsia="zh-CN"/>
        </w:rPr>
        <w:t>0.1%-0.18%比例奖励</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sz w:val="32"/>
          <w:szCs w:val="32"/>
          <w:highlight w:val="none"/>
          <w:lang w:val="en-US" w:eastAsia="zh-CN"/>
        </w:rPr>
        <w:t>若企业上半年增速超过10%，需扣除上半年已发奖励。</w:t>
      </w:r>
    </w:p>
    <w:tbl>
      <w:tblPr>
        <w:tblStyle w:val="7"/>
        <w:tblW w:w="7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3"/>
        <w:gridCol w:w="2384"/>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1713" w:type="dxa"/>
            <w:shd w:val="clear" w:color="auto" w:fill="D7D7D7"/>
            <w:noWrap/>
            <w:vAlign w:val="center"/>
          </w:tcPr>
          <w:p>
            <w:pPr>
              <w:widowControl/>
              <w:spacing w:line="360" w:lineRule="auto"/>
              <w:jc w:val="center"/>
              <w:textAlignment w:val="center"/>
              <w:rPr>
                <w:rFonts w:hint="eastAsia" w:ascii="仿宋_GB2312" w:hAnsi="仿宋_GB2312" w:eastAsia="仿宋_GB2312" w:cs="仿宋_GB2312"/>
                <w:b/>
                <w:bCs/>
                <w:color w:val="000000"/>
                <w:kern w:val="0"/>
                <w:szCs w:val="21"/>
                <w:highlight w:val="none"/>
                <w:lang w:val="en-US" w:eastAsia="zh-CN"/>
              </w:rPr>
            </w:pPr>
            <w:r>
              <w:rPr>
                <w:rFonts w:hint="eastAsia" w:ascii="仿宋_GB2312" w:hAnsi="仿宋_GB2312" w:eastAsia="仿宋_GB2312" w:cs="仿宋_GB2312"/>
                <w:b/>
                <w:bCs/>
                <w:color w:val="000000"/>
                <w:kern w:val="0"/>
                <w:szCs w:val="21"/>
                <w:highlight w:val="none"/>
                <w:lang w:val="en-US" w:eastAsia="zh-CN"/>
              </w:rPr>
              <w:t>全年营收增速</w:t>
            </w:r>
          </w:p>
        </w:tc>
        <w:tc>
          <w:tcPr>
            <w:tcW w:w="2384" w:type="dxa"/>
            <w:shd w:val="clear" w:color="auto" w:fill="D7D7D7"/>
            <w:vAlign w:val="center"/>
          </w:tcPr>
          <w:p>
            <w:pPr>
              <w:widowControl/>
              <w:spacing w:line="360" w:lineRule="auto"/>
              <w:jc w:val="center"/>
              <w:textAlignment w:val="center"/>
              <w:rPr>
                <w:rFonts w:hint="eastAsia" w:ascii="仿宋_GB2312" w:hAnsi="仿宋_GB2312" w:eastAsia="仿宋_GB2312" w:cs="仿宋_GB2312"/>
                <w:b/>
                <w:bCs/>
                <w:color w:val="000000"/>
                <w:kern w:val="0"/>
                <w:szCs w:val="21"/>
                <w:highlight w:val="none"/>
                <w:lang w:val="en-US" w:eastAsia="zh-CN"/>
              </w:rPr>
            </w:pPr>
            <w:r>
              <w:rPr>
                <w:rFonts w:hint="eastAsia" w:ascii="仿宋_GB2312" w:hAnsi="仿宋_GB2312" w:eastAsia="仿宋_GB2312" w:cs="仿宋_GB2312"/>
                <w:b/>
                <w:bCs/>
                <w:color w:val="000000"/>
                <w:kern w:val="0"/>
                <w:szCs w:val="21"/>
                <w:highlight w:val="none"/>
                <w:lang w:val="en-US" w:eastAsia="zh-CN"/>
              </w:rPr>
              <w:t>上半年营收增速</w:t>
            </w:r>
          </w:p>
        </w:tc>
        <w:tc>
          <w:tcPr>
            <w:tcW w:w="3230" w:type="dxa"/>
            <w:shd w:val="clear" w:color="auto" w:fill="D7D7D7"/>
            <w:vAlign w:val="center"/>
          </w:tcPr>
          <w:p>
            <w:pPr>
              <w:widowControl/>
              <w:spacing w:line="360" w:lineRule="auto"/>
              <w:jc w:val="center"/>
              <w:textAlignment w:val="center"/>
              <w:rPr>
                <w:rFonts w:hint="eastAsia" w:ascii="仿宋_GB2312" w:hAnsi="仿宋_GB2312" w:eastAsia="仿宋_GB2312" w:cs="仿宋_GB2312"/>
                <w:b/>
                <w:bCs/>
                <w:color w:val="000000"/>
                <w:kern w:val="0"/>
                <w:szCs w:val="21"/>
                <w:highlight w:val="none"/>
                <w:lang w:val="en-US" w:eastAsia="zh-CN"/>
              </w:rPr>
            </w:pPr>
            <w:r>
              <w:rPr>
                <w:rFonts w:hint="eastAsia" w:ascii="仿宋_GB2312" w:hAnsi="仿宋_GB2312" w:eastAsia="仿宋_GB2312" w:cs="仿宋_GB2312"/>
                <w:b/>
                <w:bCs/>
                <w:color w:val="000000"/>
                <w:kern w:val="0"/>
                <w:szCs w:val="21"/>
                <w:highlight w:val="none"/>
                <w:lang w:val="en-US" w:eastAsia="zh-CN"/>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2" w:hRule="atLeast"/>
          <w:jc w:val="center"/>
        </w:trPr>
        <w:tc>
          <w:tcPr>
            <w:tcW w:w="1713" w:type="dxa"/>
            <w:vMerge w:val="restart"/>
            <w:shd w:val="clear" w:color="auto" w:fill="auto"/>
            <w:noWrap/>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10%&lt;全年营收同比增速≤20%</w:t>
            </w:r>
          </w:p>
        </w:tc>
        <w:tc>
          <w:tcPr>
            <w:tcW w:w="2384"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上半年营收同比增速≤10%，或2025年下半年月度入库的企业</w:t>
            </w:r>
          </w:p>
        </w:tc>
        <w:tc>
          <w:tcPr>
            <w:tcW w:w="3230"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0.1%*[2025年1至11月营收-2024年1至11月营收*(1+10%)]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713" w:type="dxa"/>
            <w:vMerge w:val="continue"/>
            <w:shd w:val="clear" w:color="auto" w:fill="auto"/>
            <w:noWrap/>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p>
        </w:tc>
        <w:tc>
          <w:tcPr>
            <w:tcW w:w="2384"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上半年营收同比增速&gt;10%</w:t>
            </w:r>
          </w:p>
        </w:tc>
        <w:tc>
          <w:tcPr>
            <w:tcW w:w="3230"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0.12%*[2025年1至11月营收-2024年1至11月营收*(1+10%)]-上半年已获奖励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713" w:type="dxa"/>
            <w:vMerge w:val="restart"/>
            <w:shd w:val="clear" w:color="auto" w:fill="auto"/>
            <w:noWrap/>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全年营收同比增速＞20%</w:t>
            </w:r>
          </w:p>
        </w:tc>
        <w:tc>
          <w:tcPr>
            <w:tcW w:w="2384"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上半年营收同比增速≤10%，或2025年下半年月度入库的企业</w:t>
            </w:r>
          </w:p>
        </w:tc>
        <w:tc>
          <w:tcPr>
            <w:tcW w:w="3230"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0.15%*[2025年1至11月营收-2024年1至11月营收*(1+10%)]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13" w:type="dxa"/>
            <w:vMerge w:val="continue"/>
            <w:shd w:val="clear" w:color="auto" w:fill="auto"/>
            <w:noWrap/>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p>
        </w:tc>
        <w:tc>
          <w:tcPr>
            <w:tcW w:w="2384"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上半年营收同比增速&gt;10%</w:t>
            </w:r>
          </w:p>
        </w:tc>
        <w:tc>
          <w:tcPr>
            <w:tcW w:w="3230" w:type="dxa"/>
            <w:shd w:val="clear" w:color="auto" w:fill="auto"/>
            <w:vAlign w:val="center"/>
          </w:tcPr>
          <w:p>
            <w:pPr>
              <w:widowControl/>
              <w:jc w:val="left"/>
              <w:textAlignment w:val="center"/>
              <w:rPr>
                <w:rFonts w:hint="eastAsia" w:ascii="仿宋_GB2312" w:hAnsi="仿宋_GB2312" w:eastAsia="仿宋_GB2312" w:cs="仿宋_GB2312"/>
                <w:color w:val="000000"/>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0.18%*[2025年1至11月营收-2024年1至11月营收*(1+10%)]-上半年已获奖励</w:t>
            </w:r>
          </w:p>
        </w:tc>
      </w:tr>
    </w:tbl>
    <w:p>
      <w:pPr>
        <w:pageBreakBefore w:val="0"/>
        <w:widowControl/>
        <w:numPr>
          <w:ilvl w:val="0"/>
          <w:numId w:val="0"/>
        </w:numPr>
        <w:kinsoku/>
        <w:wordWrap/>
        <w:overflowPunct/>
        <w:topLinePunct w:val="0"/>
        <w:autoSpaceDE/>
        <w:autoSpaceDN/>
        <w:bidi w:val="0"/>
        <w:adjustRightInd/>
        <w:snapToGrid/>
        <w:spacing w:line="56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（二）规模贡献奖励</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2025年全年营收规模超5亿元的企业，按照“（7至11月月平均营收-1至6月月平均营收）×1%”的标准给予奖励。2025年7月及以后纳入统计库的企业不参与规模贡献奖励。</w:t>
      </w:r>
    </w:p>
    <w:p>
      <w:pPr>
        <w:numPr>
          <w:ilvl w:val="0"/>
          <w:numId w:val="0"/>
        </w:numPr>
        <w:spacing w:line="560" w:lineRule="exact"/>
        <w:ind w:firstLine="642" w:firstLineChars="2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（三）增速贡献奖励</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2025年全年累计营收增速为正增长且超过前</w:t>
      </w:r>
      <w:r>
        <w:rPr>
          <w:rFonts w:hint="eastAsia" w:ascii="仿宋_GB2312" w:hAnsi="黑体" w:eastAsia="仿宋_GB2312"/>
          <w:b w:val="0"/>
          <w:bCs w:val="0"/>
          <w:sz w:val="32"/>
          <w:szCs w:val="32"/>
          <w:highlight w:val="none"/>
          <w:lang w:val="en-US" w:eastAsia="zh-CN"/>
        </w:rPr>
        <w:t>三季度</w:t>
      </w:r>
      <w:r>
        <w:rPr>
          <w:rFonts w:hint="eastAsia" w:ascii="仿宋_GB2312" w:hAnsi="仿宋_GB2312" w:eastAsia="仿宋_GB2312" w:cs="仿宋_GB2312"/>
          <w:b w:val="0"/>
          <w:bCs w:val="0"/>
          <w:sz w:val="32"/>
          <w:szCs w:val="32"/>
          <w:highlight w:val="none"/>
          <w:lang w:val="en-US" w:eastAsia="zh-CN"/>
        </w:rPr>
        <w:t>营收增速5个百分点及以上的，按“(2025年全年营收增速-2025年前</w:t>
      </w:r>
      <w:r>
        <w:rPr>
          <w:rFonts w:hint="eastAsia" w:ascii="仿宋_GB2312" w:hAnsi="黑体" w:eastAsia="仿宋_GB2312"/>
          <w:b w:val="0"/>
          <w:bCs w:val="0"/>
          <w:sz w:val="32"/>
          <w:szCs w:val="32"/>
          <w:highlight w:val="none"/>
          <w:lang w:val="en-US" w:eastAsia="zh-CN"/>
        </w:rPr>
        <w:t>三季度</w:t>
      </w:r>
      <w:r>
        <w:rPr>
          <w:rFonts w:hint="eastAsia" w:ascii="仿宋_GB2312" w:hAnsi="仿宋_GB2312" w:eastAsia="仿宋_GB2312" w:cs="仿宋_GB2312"/>
          <w:b w:val="0"/>
          <w:bCs w:val="0"/>
          <w:sz w:val="32"/>
          <w:szCs w:val="32"/>
          <w:highlight w:val="none"/>
          <w:lang w:val="en-US" w:eastAsia="zh-CN"/>
        </w:rPr>
        <w:t>营收增速)*2024年全年营收*0.1%”的标准给予奖励。2024年11月及以后纳入统计库的企业不参与增速贡献奖励。</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（四）对于</w:t>
      </w:r>
      <w:r>
        <w:rPr>
          <w:rFonts w:hint="default" w:ascii="仿宋_GB2312" w:hAnsi="仿宋_GB2312" w:eastAsia="仿宋_GB2312" w:cs="仿宋_GB2312"/>
          <w:b w:val="0"/>
          <w:bCs w:val="0"/>
          <w:sz w:val="32"/>
          <w:szCs w:val="32"/>
          <w:lang w:val="en-US" w:eastAsia="zh-CN"/>
        </w:rPr>
        <w:t>在“统计直报系统”</w:t>
      </w:r>
      <w:r>
        <w:rPr>
          <w:rFonts w:hint="eastAsia" w:ascii="仿宋_GB2312" w:hAnsi="仿宋_GB2312" w:eastAsia="仿宋_GB2312" w:cs="仿宋_GB2312"/>
          <w:b w:val="0"/>
          <w:bCs w:val="0"/>
          <w:sz w:val="32"/>
          <w:szCs w:val="32"/>
          <w:lang w:val="en-US" w:eastAsia="zh-CN"/>
        </w:rPr>
        <w:t>去年同期</w:t>
      </w:r>
      <w:r>
        <w:rPr>
          <w:rFonts w:hint="default" w:ascii="仿宋_GB2312" w:hAnsi="仿宋_GB2312" w:eastAsia="仿宋_GB2312" w:cs="仿宋_GB2312"/>
          <w:b w:val="0"/>
          <w:bCs w:val="0"/>
          <w:sz w:val="32"/>
          <w:szCs w:val="32"/>
          <w:lang w:val="en-US" w:eastAsia="zh-CN"/>
        </w:rPr>
        <w:t>营收</w:t>
      </w:r>
      <w:r>
        <w:rPr>
          <w:rFonts w:hint="eastAsia" w:ascii="仿宋_GB2312" w:hAnsi="仿宋_GB2312" w:eastAsia="仿宋_GB2312" w:cs="仿宋_GB2312"/>
          <w:b w:val="0"/>
          <w:bCs w:val="0"/>
          <w:sz w:val="32"/>
          <w:szCs w:val="32"/>
          <w:lang w:val="en-US" w:eastAsia="zh-CN"/>
        </w:rPr>
        <w:t>为0的主体</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视为满足“同比增速高于20%”。</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lang w:val="en-US" w:eastAsia="zh-CN"/>
        </w:rPr>
        <w:t>（五）若资助金额计算结果为负数，</w:t>
      </w:r>
      <w:r>
        <w:rPr>
          <w:rFonts w:hint="eastAsia" w:ascii="仿宋_GB2312" w:hAnsi="仿宋_GB2312" w:eastAsia="仿宋_GB2312" w:cs="仿宋_GB2312"/>
          <w:b w:val="0"/>
          <w:bCs w:val="0"/>
          <w:sz w:val="32"/>
          <w:szCs w:val="32"/>
          <w:highlight w:val="none"/>
        </w:rPr>
        <w:t>该项资助金额按零计算。</w:t>
      </w:r>
    </w:p>
    <w:p>
      <w:pPr>
        <w:numPr>
          <w:ilvl w:val="0"/>
          <w:numId w:val="0"/>
        </w:numPr>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黑体" w:eastAsia="仿宋_GB2312"/>
          <w:b w:val="0"/>
          <w:bCs w:val="0"/>
          <w:sz w:val="32"/>
          <w:szCs w:val="32"/>
          <w:lang w:val="en-US" w:eastAsia="zh-CN"/>
        </w:rPr>
        <w:t>（六）本项目所提到的“上半年”指1-5月、“三季度”指1-8月、“全年”指1-11月</w:t>
      </w:r>
      <w:r>
        <w:rPr>
          <w:rFonts w:hint="eastAsia" w:ascii="仿宋_GB2312" w:hAnsi="仿宋_GB2312" w:eastAsia="仿宋_GB2312" w:cs="仿宋_GB2312"/>
          <w:b w:val="0"/>
          <w:bCs w:val="0"/>
          <w:sz w:val="32"/>
          <w:szCs w:val="32"/>
          <w:lang w:eastAsia="zh-CN"/>
        </w:rPr>
        <w:t>。</w:t>
      </w:r>
    </w:p>
    <w:p>
      <w:pPr>
        <w:numPr>
          <w:ilvl w:val="0"/>
          <w:numId w:val="0"/>
        </w:numPr>
        <w:spacing w:line="560" w:lineRule="exact"/>
        <w:ind w:firstLine="640" w:firstLineChars="200"/>
        <w:rPr>
          <w:rFonts w:hint="eastAsia" w:ascii="仿宋_GB2312" w:hAnsi="黑体" w:eastAsia="仿宋_GB2312"/>
          <w:b w:val="0"/>
          <w:bCs w:val="0"/>
          <w:sz w:val="32"/>
          <w:szCs w:val="32"/>
          <w:lang w:val="en-US" w:eastAsia="zh-CN"/>
        </w:rPr>
      </w:pPr>
      <w:r>
        <w:rPr>
          <w:rFonts w:hint="eastAsia" w:ascii="仿宋_GB2312" w:hAnsi="黑体" w:eastAsia="仿宋_GB2312"/>
          <w:b w:val="0"/>
          <w:bCs w:val="0"/>
          <w:sz w:val="32"/>
          <w:szCs w:val="32"/>
          <w:lang w:val="en-US" w:eastAsia="zh-CN"/>
        </w:rPr>
        <w:t>（七）本项目实行总量控制。</w:t>
      </w:r>
    </w:p>
    <w:p>
      <w:pPr>
        <w:widowControl/>
        <w:spacing w:line="600" w:lineRule="exact"/>
        <w:ind w:firstLine="537" w:firstLineChars="168"/>
        <w:outlineLvl w:val="0"/>
        <w:rPr>
          <w:rFonts w:hAnsi="黑体" w:eastAsia="黑体"/>
          <w:sz w:val="32"/>
          <w:szCs w:val="32"/>
        </w:rPr>
      </w:pPr>
      <w:r>
        <w:rPr>
          <w:rFonts w:hint="eastAsia" w:hAnsi="黑体" w:eastAsia="黑体"/>
          <w:sz w:val="32"/>
          <w:szCs w:val="32"/>
        </w:rPr>
        <w:t>四、申请条件</w:t>
      </w:r>
    </w:p>
    <w:p>
      <w:pPr>
        <w:widowControl/>
        <w:spacing w:line="600" w:lineRule="exact"/>
        <w:ind w:firstLine="537" w:firstLineChars="168"/>
        <w:rPr>
          <w:rFonts w:hAnsi="仿宋" w:eastAsia="仿宋"/>
          <w:bCs/>
          <w:color w:val="000000"/>
          <w:sz w:val="32"/>
          <w:szCs w:val="32"/>
        </w:rPr>
      </w:pPr>
      <w:r>
        <w:rPr>
          <w:rFonts w:hint="eastAsia" w:hAnsi="仿宋" w:eastAsia="仿宋"/>
          <w:bCs/>
          <w:color w:val="000000"/>
          <w:sz w:val="32"/>
          <w:szCs w:val="32"/>
          <w:lang w:eastAsia="zh-CN"/>
        </w:rPr>
        <w:t>（一）</w:t>
      </w:r>
      <w:r>
        <w:rPr>
          <w:rFonts w:hint="eastAsia" w:hAnsi="仿宋" w:eastAsia="仿宋"/>
          <w:bCs/>
          <w:color w:val="000000"/>
          <w:sz w:val="32"/>
          <w:szCs w:val="32"/>
        </w:rPr>
        <w:t>申请本项资金资助的机构应符合以下基本条件：</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1、数据申报地在南山区的规上营利性服务业主体；</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2、履行统计数据申报义务、守法经营、诚实守信、有规范的财务管理制度；</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3、应积极配合区委、区政府相关工作。</w:t>
      </w:r>
    </w:p>
    <w:p>
      <w:pPr>
        <w:pStyle w:val="6"/>
        <w:keepNext w:val="0"/>
        <w:keepLines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-鼓励营利性服务业企业做大做强项目申请书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局对头部</w:t>
      </w:r>
      <w:r>
        <w:rPr>
          <w:rFonts w:hint="eastAsia" w:ascii="仿宋_GB2312" w:hAnsi="黑体" w:eastAsia="仿宋_GB2312"/>
          <w:sz w:val="32"/>
          <w:szCs w:val="32"/>
        </w:rPr>
        <w:t>规上</w:t>
      </w:r>
      <w:r>
        <w:rPr>
          <w:rFonts w:hint="eastAsia" w:ascii="仿宋_GB2312" w:hAnsi="黑体" w:eastAsia="仿宋_GB2312"/>
          <w:sz w:val="32"/>
          <w:szCs w:val="32"/>
          <w:lang w:eastAsia="zh-CN"/>
        </w:rPr>
        <w:t>营利性服务业</w:t>
      </w:r>
      <w:r>
        <w:rPr>
          <w:rFonts w:hint="eastAsia" w:ascii="仿宋_GB2312" w:hAnsi="黑体" w:eastAsia="仿宋_GB2312"/>
          <w:sz w:val="32"/>
          <w:szCs w:val="32"/>
        </w:rPr>
        <w:t>企业</w:t>
      </w:r>
      <w:r>
        <w:rPr>
          <w:rFonts w:hint="eastAsia" w:ascii="仿宋_GB2312" w:eastAsia="仿宋_GB2312"/>
          <w:sz w:val="32"/>
          <w:szCs w:val="32"/>
          <w:highlight w:val="none"/>
          <w:lang w:eastAsia="zh-CN"/>
        </w:rPr>
        <w:t>项目申报材料进行初审，各街道办按街道统计关系对剩下</w:t>
      </w:r>
      <w:r>
        <w:rPr>
          <w:rFonts w:hint="eastAsia" w:ascii="仿宋_GB2312" w:hAnsi="黑体" w:eastAsia="仿宋_GB2312"/>
          <w:sz w:val="32"/>
          <w:szCs w:val="32"/>
        </w:rPr>
        <w:t>规上</w:t>
      </w:r>
      <w:r>
        <w:rPr>
          <w:rFonts w:hint="eastAsia" w:ascii="仿宋_GB2312" w:hAnsi="黑体" w:eastAsia="仿宋_GB2312"/>
          <w:sz w:val="32"/>
          <w:szCs w:val="32"/>
          <w:lang w:eastAsia="zh-CN"/>
        </w:rPr>
        <w:t>营利性服务业</w:t>
      </w:r>
      <w:r>
        <w:rPr>
          <w:rFonts w:hint="eastAsia" w:ascii="仿宋_GB2312" w:hAnsi="黑体" w:eastAsia="仿宋_GB2312"/>
          <w:sz w:val="32"/>
          <w:szCs w:val="32"/>
        </w:rPr>
        <w:t>企业</w:t>
      </w:r>
      <w:r>
        <w:rPr>
          <w:rFonts w:hint="eastAsia" w:ascii="仿宋_GB2312" w:eastAsia="仿宋_GB2312"/>
          <w:sz w:val="32"/>
          <w:szCs w:val="32"/>
          <w:highlight w:val="none"/>
          <w:lang w:eastAsia="zh-CN"/>
        </w:rPr>
        <w:t>项目申报材料进行初审，区工业和信息化局对所有申请项目的</w:t>
      </w:r>
      <w:r>
        <w:rPr>
          <w:rFonts w:hint="eastAsia" w:ascii="仿宋_GB2312" w:hAnsi="黑体" w:eastAsia="仿宋_GB2312"/>
          <w:sz w:val="32"/>
          <w:szCs w:val="32"/>
        </w:rPr>
        <w:t>规上</w:t>
      </w:r>
      <w:r>
        <w:rPr>
          <w:rFonts w:hint="eastAsia" w:ascii="仿宋_GB2312" w:hAnsi="黑体" w:eastAsia="仿宋_GB2312"/>
          <w:sz w:val="32"/>
          <w:szCs w:val="32"/>
          <w:lang w:eastAsia="zh-CN"/>
        </w:rPr>
        <w:t>营利性服务业</w:t>
      </w:r>
      <w:r>
        <w:rPr>
          <w:rFonts w:hint="eastAsia" w:ascii="仿宋_GB2312" w:eastAsia="仿宋_GB2312"/>
          <w:sz w:val="32"/>
          <w:szCs w:val="32"/>
          <w:highlight w:val="none"/>
          <w:lang w:eastAsia="zh-CN"/>
        </w:rPr>
        <w:t>企业申报材料进行复审；</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区工业和信息化局对受理项目拟定资助计划；</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区相关部门对申报主体的有关经营资质情况进行核查；</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对公示期满，无有效投诉的项目资助计划，区工业和信息化局统一对</w:t>
      </w:r>
      <w:r>
        <w:rPr>
          <w:rFonts w:hint="eastAsia" w:ascii="仿宋_GB2312" w:eastAsia="仿宋_GB2312"/>
          <w:sz w:val="32"/>
          <w:szCs w:val="32"/>
          <w:highlight w:val="none"/>
          <w:lang w:eastAsia="zh-CN"/>
        </w:rPr>
        <w:t>本项目</w:t>
      </w:r>
      <w:r>
        <w:rPr>
          <w:rFonts w:hint="eastAsia" w:ascii="仿宋_GB2312" w:hAnsi="宋体" w:eastAsia="仿宋_GB2312"/>
          <w:sz w:val="32"/>
          <w:szCs w:val="32"/>
          <w:highlight w:val="none"/>
          <w:lang w:eastAsia="zh-CN"/>
        </w:rPr>
        <w:t>按照相应审核程序提交区促进产业高质量发展专项资金领导小组会议审议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对受理项目下达资金计划；</w:t>
      </w:r>
    </w:p>
    <w:p>
      <w:pPr>
        <w:widowControl/>
        <w:spacing w:line="560" w:lineRule="exact"/>
        <w:ind w:firstLine="640" w:firstLineChars="200"/>
        <w:outlineLvl w:val="9"/>
        <w:rPr>
          <w:rFonts w:ascii="仿宋_GB2312" w:hAnsi="宋体" w:eastAsia="仿宋_GB2312"/>
          <w:sz w:val="32"/>
          <w:szCs w:val="32"/>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七</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法定代表人身份证明[原件（或复印件加盖单位公章）彩色扫描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pStyle w:val="6"/>
        <w:rPr>
          <w:rFonts w:hint="default" w:eastAsia="仿宋_GB2312"/>
          <w:lang w:val="en-US" w:eastAsia="zh-CN"/>
        </w:rPr>
      </w:pPr>
      <w:r>
        <w:rPr>
          <w:rFonts w:hint="eastAsia" w:ascii="仿宋_GB2312"/>
          <w:sz w:val="32"/>
          <w:szCs w:val="32"/>
          <w:highlight w:val="none"/>
          <w:lang w:val="en-US" w:eastAsia="zh-CN"/>
        </w:rPr>
        <w:t xml:space="preserve">  （四）申报主体由税务部门开具的单位上年度纳税证明（上传税务系统下载带有税务机关红色印章的电子版，事业单位除外)；</w:t>
      </w: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w:t>
      </w:r>
      <w:r>
        <w:rPr>
          <w:rFonts w:hint="eastAsia" w:ascii="仿宋_GB2312" w:hAnsi="宋体" w:cs="宋体"/>
          <w:kern w:val="2"/>
          <w:sz w:val="32"/>
          <w:szCs w:val="32"/>
          <w:lang w:val="en-US" w:eastAsia="zh-CN" w:bidi="ar-SA"/>
        </w:rPr>
        <w:t>五</w:t>
      </w:r>
      <w:r>
        <w:rPr>
          <w:rFonts w:hint="eastAsia" w:ascii="仿宋_GB2312" w:hAnsi="宋体" w:eastAsia="仿宋_GB2312" w:cs="宋体"/>
          <w:kern w:val="2"/>
          <w:sz w:val="32"/>
          <w:szCs w:val="32"/>
          <w:lang w:val="en-US" w:eastAsia="zh-CN" w:bidi="ar-SA"/>
        </w:rPr>
        <w:t>）</w:t>
      </w:r>
      <w:r>
        <w:rPr>
          <w:rFonts w:hint="eastAsia" w:ascii="仿宋_GB2312" w:hAnsi="宋体" w:cs="宋体"/>
          <w:kern w:val="2"/>
          <w:sz w:val="32"/>
          <w:szCs w:val="32"/>
          <w:lang w:val="en-US" w:eastAsia="zh-CN" w:bidi="ar-SA"/>
        </w:rPr>
        <w:t>提交</w:t>
      </w:r>
      <w:r>
        <w:rPr>
          <w:rFonts w:hint="eastAsia" w:ascii="仿宋_GB2312" w:hAnsi="宋体" w:eastAsia="仿宋_GB2312" w:cs="宋体"/>
          <w:kern w:val="2"/>
          <w:sz w:val="32"/>
          <w:szCs w:val="32"/>
          <w:lang w:val="en-US" w:eastAsia="zh-CN" w:bidi="ar-SA"/>
        </w:rPr>
        <w:t>202</w:t>
      </w:r>
      <w:r>
        <w:rPr>
          <w:rFonts w:hint="eastAsia" w:ascii="仿宋_GB2312" w:hAnsi="宋体" w:cs="宋体"/>
          <w:kern w:val="2"/>
          <w:sz w:val="32"/>
          <w:szCs w:val="32"/>
          <w:lang w:val="en-US" w:eastAsia="zh-CN" w:bidi="ar-SA"/>
        </w:rPr>
        <w:t>5</w:t>
      </w:r>
      <w:r>
        <w:rPr>
          <w:rFonts w:hint="eastAsia" w:ascii="仿宋_GB2312" w:hAnsi="宋体" w:eastAsia="仿宋_GB2312" w:cs="宋体"/>
          <w:kern w:val="2"/>
          <w:sz w:val="32"/>
          <w:szCs w:val="32"/>
          <w:lang w:val="en-US" w:eastAsia="zh-CN" w:bidi="ar-SA"/>
        </w:rPr>
        <w:t>年1-5月</w:t>
      </w:r>
      <w:r>
        <w:rPr>
          <w:rFonts w:hint="eastAsia" w:ascii="仿宋_GB2312" w:hAnsi="宋体" w:cs="宋体"/>
          <w:kern w:val="2"/>
          <w:sz w:val="32"/>
          <w:szCs w:val="32"/>
          <w:lang w:val="en-US" w:eastAsia="zh-CN" w:bidi="ar-SA"/>
        </w:rPr>
        <w:t>、1-6月、1-8月、1-11月</w:t>
      </w:r>
      <w:r>
        <w:rPr>
          <w:rFonts w:hint="eastAsia" w:ascii="仿宋_GB2312" w:hAnsi="宋体" w:eastAsia="仿宋_GB2312" w:cs="宋体"/>
          <w:kern w:val="2"/>
          <w:sz w:val="32"/>
          <w:szCs w:val="32"/>
          <w:lang w:val="en-US" w:eastAsia="zh-CN" w:bidi="ar-SA"/>
        </w:rPr>
        <w:t>财务状况表及调查单位基本情况表</w:t>
      </w:r>
      <w:r>
        <w:rPr>
          <w:rFonts w:hint="eastAsia" w:ascii="仿宋_GB2312" w:hAnsi="宋体" w:cs="宋体"/>
          <w:kern w:val="2"/>
          <w:sz w:val="32"/>
          <w:szCs w:val="32"/>
          <w:lang w:val="en-US" w:eastAsia="zh-CN" w:bidi="ar-SA"/>
        </w:rPr>
        <w:t>；</w:t>
      </w:r>
      <w:r>
        <w:rPr>
          <w:rFonts w:hint="eastAsia" w:ascii="仿宋_GB2312" w:hAnsi="宋体" w:eastAsia="仿宋_GB2312" w:cs="宋体"/>
          <w:kern w:val="2"/>
          <w:sz w:val="32"/>
          <w:szCs w:val="32"/>
          <w:lang w:val="en-US" w:eastAsia="zh-CN" w:bidi="ar-SA"/>
        </w:rPr>
        <w:t>[</w:t>
      </w:r>
      <w:r>
        <w:rPr>
          <w:rFonts w:hint="default" w:ascii="仿宋_GB2312" w:hAnsi="宋体" w:eastAsia="仿宋_GB2312" w:cs="宋体"/>
          <w:kern w:val="2"/>
          <w:sz w:val="32"/>
          <w:szCs w:val="32"/>
          <w:lang w:val="en-US" w:eastAsia="zh-CN" w:bidi="ar-SA"/>
        </w:rPr>
        <w:t>“</w:t>
      </w:r>
      <w:r>
        <w:rPr>
          <w:rFonts w:hint="eastAsia" w:ascii="仿宋_GB2312" w:hAnsi="宋体" w:eastAsia="仿宋_GB2312" w:cs="宋体"/>
          <w:kern w:val="2"/>
          <w:sz w:val="32"/>
          <w:szCs w:val="32"/>
          <w:lang w:val="en-US" w:eastAsia="zh-CN" w:bidi="ar-SA"/>
        </w:rPr>
        <w:t>统计云平台联网直报系统”下载，原件（或复印件加盖单位公章）彩色扫描成PDF文件上传]；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（六）其他与项目有关的说明材料。</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10" w:firstLineChars="200"/>
        <w:contextualSpacing/>
        <w:textAlignment w:val="auto"/>
        <w:outlineLvl w:val="9"/>
        <w:rPr>
          <w:rFonts w:hint="eastAsia" w:ascii="仿宋_GB2312" w:eastAsia="仿宋_GB2312"/>
          <w:b/>
          <w:bCs/>
          <w:color w:val="000000"/>
          <w:w w:val="95"/>
          <w:sz w:val="32"/>
          <w:szCs w:val="32"/>
          <w:highlight w:val="none"/>
        </w:rPr>
      </w:pPr>
      <w:r>
        <w:rPr>
          <w:rFonts w:hint="eastAsia" w:ascii="仿宋_GB2312" w:eastAsia="仿宋_GB2312"/>
          <w:b/>
          <w:bCs/>
          <w:color w:val="000000"/>
          <w:w w:val="95"/>
          <w:sz w:val="32"/>
          <w:szCs w:val="32"/>
          <w:highlight w:val="none"/>
        </w:rPr>
        <w:t>备注：本项目无需提交纸质件</w:t>
      </w:r>
    </w:p>
    <w:p>
      <w:pPr>
        <w:pStyle w:val="5"/>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区工业和信息化局</w:t>
      </w:r>
      <w:r>
        <w:rPr>
          <w:rFonts w:hint="eastAsia" w:ascii="仿宋_GB2312" w:hAnsi="仿宋_GB2312" w:eastAsia="仿宋_GB2312" w:cs="仿宋_GB2312"/>
          <w:sz w:val="32"/>
          <w:szCs w:val="32"/>
          <w:lang w:eastAsia="zh-CN"/>
        </w:rPr>
        <w:t>、各街道办</w:t>
      </w:r>
      <w:r>
        <w:rPr>
          <w:rFonts w:hint="eastAsia" w:ascii="仿宋_GB2312" w:hAnsi="仿宋_GB2312" w:eastAsia="仿宋_GB2312" w:cs="仿宋_GB2312"/>
          <w:sz w:val="32"/>
          <w:szCs w:val="32"/>
        </w:rPr>
        <w:t>安排受理企业申请（具体时间</w:t>
      </w:r>
      <w:r>
        <w:rPr>
          <w:rFonts w:hint="eastAsia" w:ascii="仿宋_GB2312" w:hAnsi="仿宋_GB2312" w:eastAsia="仿宋_GB2312" w:cs="仿宋_GB2312"/>
          <w:kern w:val="2"/>
          <w:sz w:val="32"/>
          <w:szCs w:val="32"/>
        </w:rPr>
        <w:t>以发布的申报通知为准），资助计划下达1个月内受资助单位须办理资金拨付手续，逾期不办理者视为自动放弃。</w:t>
      </w:r>
    </w:p>
    <w:p>
      <w:pPr>
        <w:pStyle w:val="5"/>
        <w:shd w:val="clear" w:color="auto" w:fill="FFFFFF"/>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5"/>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申请本项目资助的企业应保证其申报材料的完整性、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本规程由南山区工业和信息化局负责解释，自发布之日起施行。</w:t>
      </w:r>
    </w:p>
    <w:p/>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01261"/>
    <w:rsid w:val="3CDD0894"/>
    <w:rsid w:val="46C01261"/>
    <w:rsid w:val="7F9D0183"/>
    <w:rsid w:val="DDF2C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eastAsia="黑体" w:cs="Times New Roman"/>
      <w:b/>
      <w:bC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w:basedOn w:val="2"/>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2077</Words>
  <Characters>2339</Characters>
  <Lines>0</Lines>
  <Paragraphs>0</Paragraphs>
  <TotalTime>335</TotalTime>
  <ScaleCrop>false</ScaleCrop>
  <LinksUpToDate>false</LinksUpToDate>
  <CharactersWithSpaces>2346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2026-01-20T18:53:00Z</dcterms:created>
  <dc:creator>XuanWanL</dc:creator>
  <cp:lastModifiedBy>马炜轩</cp:lastModifiedBy>
  <dcterms:modified xsi:type="dcterms:W3CDTF">2026-01-27T15:44:48Z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FDD398D5CD664666BEE6A6897E698C71_11</vt:lpwstr>
  </property>
  <property fmtid="{D5CDD505-2E9C-101B-9397-08002B2CF9AE}" pid="4" name="KSOTemplateDocerSaveRecord">
    <vt:lpwstr>eyJoZGlkIjoiNTgwNzZjNWYzMDFiOGY0YjBiZWZjMjc1MmMyMDI4MjUiLCJ1c2VySWQiOiI3MDI4OTAzODMifQ==</vt:lpwstr>
  </property>
</Properties>
</file>