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E2A32">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黑体_GBK" w:cs="Times New Roman"/>
          <w:kern w:val="2"/>
          <w:sz w:val="32"/>
          <w:szCs w:val="32"/>
          <w:highlight w:val="none"/>
          <w:lang w:val="en-US" w:eastAsia="zh-CN"/>
        </w:rPr>
        <w:t>附件1</w:t>
      </w:r>
    </w:p>
    <w:p w14:paraId="177ED35B">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_GBK" w:cs="方正小标宋_GBK"/>
          <w:sz w:val="44"/>
          <w:szCs w:val="44"/>
          <w:lang w:val="en-US" w:eastAsia="zh-CN"/>
        </w:rPr>
      </w:pPr>
    </w:p>
    <w:p w14:paraId="72F5E1AE">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2026年度省级市场监管管理专项</w:t>
      </w:r>
    </w:p>
    <w:p w14:paraId="378AC7D2">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资金广州市知识产权促进类项目</w:t>
      </w:r>
      <w:r>
        <w:rPr>
          <w:rFonts w:hint="eastAsia" w:ascii="Times New Roman" w:hAnsi="Times New Roman" w:eastAsia="方正小标宋_GBK" w:cs="方正小标宋_GBK"/>
          <w:sz w:val="44"/>
          <w:szCs w:val="44"/>
        </w:rPr>
        <w:t>申报指南</w:t>
      </w:r>
    </w:p>
    <w:p w14:paraId="24EBD0B3">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方正小标宋_GBK"/>
          <w:sz w:val="44"/>
          <w:szCs w:val="44"/>
        </w:rPr>
      </w:pPr>
    </w:p>
    <w:p w14:paraId="0BF5D125">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eastAsia="方正黑体_GBK"/>
          <w:sz w:val="44"/>
        </w:rPr>
      </w:pPr>
      <w:r>
        <w:rPr>
          <w:rFonts w:hint="default" w:eastAsia="方正黑体_GBK"/>
          <w:sz w:val="44"/>
        </w:rPr>
        <w:t>目  录</w:t>
      </w:r>
    </w:p>
    <w:p w14:paraId="77CC1763">
      <w:pPr>
        <w:pStyle w:val="9"/>
        <w:keepNext w:val="0"/>
        <w:keepLines w:val="0"/>
        <w:pageBreakBefore w:val="0"/>
        <w:widowControl w:val="0"/>
        <w:kinsoku/>
        <w:wordWrap/>
        <w:overflowPunct/>
        <w:topLinePunct w:val="0"/>
        <w:autoSpaceDE/>
        <w:autoSpaceDN/>
        <w:bidi w:val="0"/>
        <w:adjustRightInd/>
        <w:snapToGrid/>
        <w:spacing w:beforeLines="0" w:afterLines="0" w:line="600" w:lineRule="exact"/>
        <w:ind w:firstLine="320" w:firstLineChars="100"/>
        <w:textAlignment w:val="auto"/>
        <w:rPr>
          <w:rFonts w:hint="default" w:eastAsia="方正仿宋_GBK"/>
          <w:sz w:val="32"/>
        </w:rPr>
      </w:pPr>
    </w:p>
    <w:p w14:paraId="462D99B8">
      <w:pPr>
        <w:pStyle w:val="9"/>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总  则.............................................................................................</w:t>
      </w:r>
      <w:r>
        <w:rPr>
          <w:rFonts w:hint="eastAsia" w:ascii="Times New Roman" w:hAnsi="Times New Roman" w:eastAsia="方正黑体_GBK" w:cs="方正黑体_GBK"/>
          <w:sz w:val="32"/>
          <w:lang w:val="en-US" w:eastAsia="zh-CN"/>
        </w:rPr>
        <w:t>（</w:t>
      </w:r>
      <w:r>
        <w:rPr>
          <w:rFonts w:hint="eastAsia" w:eastAsia="方正黑体_GBK" w:cs="方正黑体_GBK"/>
          <w:sz w:val="32"/>
          <w:lang w:val="en-US" w:eastAsia="zh-CN"/>
        </w:rPr>
        <w:t>1</w:t>
      </w:r>
      <w:r>
        <w:rPr>
          <w:rFonts w:hint="eastAsia" w:ascii="Times New Roman" w:hAnsi="Times New Roman" w:eastAsia="方正黑体_GBK" w:cs="方正黑体_GBK"/>
          <w:sz w:val="32"/>
          <w:lang w:val="en-US" w:eastAsia="zh-CN"/>
        </w:rPr>
        <w:t>）</w:t>
      </w:r>
    </w:p>
    <w:p w14:paraId="11911551">
      <w:pPr>
        <w:keepNext w:val="0"/>
        <w:keepLines w:val="0"/>
        <w:pageBreakBefore w:val="0"/>
        <w:widowControl w:val="0"/>
        <w:kinsoku/>
        <w:wordWrap/>
        <w:overflowPunct/>
        <w:topLinePunct w:val="0"/>
        <w:bidi w:val="0"/>
        <w:spacing w:beforeLines="0" w:afterLines="0" w:line="600" w:lineRule="exact"/>
        <w:jc w:val="both"/>
        <w:textAlignment w:val="auto"/>
        <w:rPr>
          <w:rFonts w:eastAsia="黑体"/>
          <w:sz w:val="44"/>
          <w:szCs w:val="30"/>
        </w:rPr>
      </w:pPr>
      <w:r>
        <w:rPr>
          <w:rFonts w:hint="eastAsia" w:ascii="方正仿宋_GBK" w:hAnsi="方正仿宋_GBK" w:eastAsia="方正仿宋_GBK" w:cs="方正仿宋_GBK"/>
          <w:sz w:val="32"/>
          <w:szCs w:val="32"/>
          <w:lang w:eastAsia="zh-CN"/>
        </w:rPr>
        <w:t>一、</w:t>
      </w:r>
      <w:r>
        <w:rPr>
          <w:rFonts w:hint="default" w:ascii="方正仿宋_GBK" w:hAnsi="方正仿宋_GBK" w:eastAsia="方正仿宋_GBK" w:cs="方正仿宋_GBK"/>
          <w:sz w:val="32"/>
          <w:szCs w:val="32"/>
        </w:rPr>
        <w:t>广东省海外专利布局促进项目（广州）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eastAsia="方正仿宋_GBK" w:cs="Times New Roman"/>
          <w:kern w:val="0"/>
          <w:sz w:val="32"/>
          <w:szCs w:val="32"/>
          <w:lang w:val="en-US" w:eastAsia="zh-CN" w:bidi="ar"/>
        </w:rPr>
        <w:t>4</w:t>
      </w:r>
      <w:r>
        <w:rPr>
          <w:rFonts w:hint="eastAsia" w:ascii="方正仿宋_GBK" w:hAnsi="方正仿宋_GBK" w:eastAsia="方正仿宋_GBK" w:cs="方正仿宋_GBK"/>
          <w:sz w:val="32"/>
          <w:szCs w:val="32"/>
          <w:lang w:val="en-US" w:eastAsia="zh-CN"/>
        </w:rPr>
        <w:t>）</w:t>
      </w:r>
    </w:p>
    <w:p w14:paraId="09AB39A3">
      <w:pPr>
        <w:keepNext w:val="0"/>
        <w:keepLines w:val="0"/>
        <w:pageBreakBefore w:val="0"/>
        <w:widowControl w:val="0"/>
        <w:kinsoku/>
        <w:wordWrap/>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二、</w:t>
      </w:r>
      <w:r>
        <w:rPr>
          <w:rFonts w:hint="default" w:ascii="方正仿宋_GBK" w:hAnsi="方正仿宋_GBK" w:eastAsia="方正仿宋_GBK" w:cs="方正仿宋_GBK"/>
          <w:sz w:val="32"/>
          <w:szCs w:val="32"/>
        </w:rPr>
        <w:t>广东省产业知识产权运营中心建设项目（广州）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eastAsia="方正仿宋_GBK" w:cs="Times New Roman"/>
          <w:kern w:val="0"/>
          <w:sz w:val="32"/>
          <w:szCs w:val="32"/>
          <w:lang w:val="en-US" w:eastAsia="zh-CN" w:bidi="ar"/>
        </w:rPr>
        <w:t>6</w:t>
      </w:r>
      <w:r>
        <w:rPr>
          <w:rFonts w:hint="eastAsia" w:ascii="方正仿宋_GBK" w:hAnsi="方正仿宋_GBK" w:eastAsia="方正仿宋_GBK" w:cs="方正仿宋_GBK"/>
          <w:sz w:val="32"/>
          <w:szCs w:val="32"/>
          <w:lang w:val="en-US" w:eastAsia="zh-CN"/>
        </w:rPr>
        <w:t>）</w:t>
      </w:r>
    </w:p>
    <w:p w14:paraId="4E0658F1">
      <w:pPr>
        <w:keepNext w:val="0"/>
        <w:keepLines w:val="0"/>
        <w:pageBreakBefore w:val="0"/>
        <w:widowControl w:val="0"/>
        <w:kinsoku/>
        <w:wordWrap/>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三、</w:t>
      </w:r>
      <w:r>
        <w:rPr>
          <w:rFonts w:hint="default" w:ascii="方正仿宋_GBK" w:hAnsi="方正仿宋_GBK" w:eastAsia="方正仿宋_GBK" w:cs="方正仿宋_GBK"/>
          <w:sz w:val="32"/>
          <w:szCs w:val="32"/>
        </w:rPr>
        <w:t>专利转化运用体系建设项目（广州）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kern w:val="0"/>
          <w:sz w:val="32"/>
          <w:szCs w:val="32"/>
          <w:lang w:val="en-US" w:eastAsia="zh-CN" w:bidi="ar"/>
        </w:rPr>
        <w:t>1</w:t>
      </w:r>
      <w:r>
        <w:rPr>
          <w:rFonts w:hint="eastAsia" w:eastAsia="方正仿宋_GBK" w:cs="Times New Roman"/>
          <w:kern w:val="0"/>
          <w:sz w:val="32"/>
          <w:szCs w:val="32"/>
          <w:lang w:val="en-US" w:eastAsia="zh-CN" w:bidi="ar"/>
        </w:rPr>
        <w:t>0</w:t>
      </w:r>
      <w:r>
        <w:rPr>
          <w:rFonts w:hint="eastAsia" w:ascii="Times New Roman" w:hAnsi="Times New Roman" w:eastAsia="方正仿宋_GBK" w:cs="Times New Roman"/>
          <w:kern w:val="0"/>
          <w:sz w:val="32"/>
          <w:szCs w:val="32"/>
          <w:lang w:val="en-US" w:eastAsia="zh-CN" w:bidi="ar"/>
        </w:rPr>
        <w:t>）</w:t>
      </w:r>
    </w:p>
    <w:p w14:paraId="7911DEA9">
      <w:pPr>
        <w:keepNext w:val="0"/>
        <w:keepLines w:val="0"/>
        <w:pageBreakBefore w:val="0"/>
        <w:widowControl w:val="0"/>
        <w:kinsoku/>
        <w:wordWrap/>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四、</w:t>
      </w:r>
      <w:r>
        <w:rPr>
          <w:rFonts w:hint="default" w:ascii="方正仿宋_GBK" w:hAnsi="方正仿宋_GBK" w:eastAsia="方正仿宋_GBK" w:cs="方正仿宋_GBK"/>
          <w:sz w:val="32"/>
          <w:szCs w:val="32"/>
        </w:rPr>
        <w:t>专利密集型产品培育推广（广州）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kern w:val="0"/>
          <w:sz w:val="32"/>
          <w:szCs w:val="32"/>
          <w:lang w:val="en-US" w:eastAsia="zh-CN" w:bidi="ar"/>
        </w:rPr>
        <w:t>1</w:t>
      </w:r>
      <w:r>
        <w:rPr>
          <w:rFonts w:hint="eastAsia" w:eastAsia="方正仿宋_GBK" w:cs="Times New Roman"/>
          <w:kern w:val="0"/>
          <w:sz w:val="32"/>
          <w:szCs w:val="32"/>
          <w:lang w:val="en-US" w:eastAsia="zh-CN" w:bidi="ar"/>
        </w:rPr>
        <w:t>3</w:t>
      </w:r>
      <w:r>
        <w:rPr>
          <w:rFonts w:hint="eastAsia" w:ascii="方正仿宋_GBK" w:hAnsi="方正仿宋_GBK" w:eastAsia="方正仿宋_GBK" w:cs="方正仿宋_GBK"/>
          <w:sz w:val="32"/>
          <w:szCs w:val="32"/>
          <w:lang w:val="en-US" w:eastAsia="zh-CN"/>
        </w:rPr>
        <w:t>）</w:t>
      </w:r>
    </w:p>
    <w:p w14:paraId="20F10A07">
      <w:pPr>
        <w:keepNext w:val="0"/>
        <w:keepLines w:val="0"/>
        <w:pageBreakBefore w:val="0"/>
        <w:widowControl w:val="0"/>
        <w:kinsoku/>
        <w:wordWrap/>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五、</w:t>
      </w:r>
      <w:r>
        <w:rPr>
          <w:rFonts w:hint="default" w:ascii="方正仿宋_GBK" w:hAnsi="方正仿宋_GBK" w:eastAsia="方正仿宋_GBK" w:cs="方正仿宋_GBK"/>
          <w:sz w:val="32"/>
          <w:szCs w:val="32"/>
        </w:rPr>
        <w:t>专利转化运用人才培养体系建设（广州）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kern w:val="0"/>
          <w:sz w:val="32"/>
          <w:szCs w:val="32"/>
          <w:lang w:val="en-US" w:eastAsia="zh-CN" w:bidi="ar"/>
        </w:rPr>
        <w:t>1</w:t>
      </w:r>
      <w:r>
        <w:rPr>
          <w:rFonts w:hint="eastAsia" w:eastAsia="方正仿宋_GBK" w:cs="Times New Roman"/>
          <w:kern w:val="0"/>
          <w:sz w:val="32"/>
          <w:szCs w:val="32"/>
          <w:lang w:val="en-US" w:eastAsia="zh-CN" w:bidi="ar"/>
        </w:rPr>
        <w:t>6</w:t>
      </w:r>
      <w:r>
        <w:rPr>
          <w:rFonts w:hint="eastAsia" w:ascii="方正仿宋_GBK" w:hAnsi="方正仿宋_GBK" w:eastAsia="方正仿宋_GBK" w:cs="方正仿宋_GBK"/>
          <w:sz w:val="32"/>
          <w:szCs w:val="32"/>
          <w:lang w:val="en-US" w:eastAsia="zh-CN"/>
        </w:rPr>
        <w:t>）</w:t>
      </w:r>
    </w:p>
    <w:p w14:paraId="673A86CD">
      <w:pPr>
        <w:keepNext w:val="0"/>
        <w:keepLines w:val="0"/>
        <w:pageBreakBefore w:val="0"/>
        <w:widowControl w:val="0"/>
        <w:kinsoku/>
        <w:wordWrap w:val="0"/>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六、</w:t>
      </w:r>
      <w:r>
        <w:rPr>
          <w:rFonts w:hint="default" w:ascii="方正仿宋_GBK" w:hAnsi="方正仿宋_GBK" w:eastAsia="方正仿宋_GBK" w:cs="方正仿宋_GBK"/>
          <w:sz w:val="32"/>
          <w:szCs w:val="32"/>
        </w:rPr>
        <w:t>国家知识产权金融生态示范区培育及广东省数据知识产</w:t>
      </w:r>
      <w:r>
        <w:rPr>
          <w:rFonts w:hint="default" w:ascii="方正仿宋_GBK" w:hAnsi="方正仿宋_GBK" w:eastAsia="方正仿宋_GBK" w:cs="方正仿宋_GBK"/>
          <w:spacing w:val="-11"/>
          <w:sz w:val="32"/>
          <w:szCs w:val="32"/>
        </w:rPr>
        <w:t>权运用（广</w:t>
      </w:r>
      <w:r>
        <w:rPr>
          <w:rFonts w:hint="default" w:ascii="方正仿宋_GBK" w:hAnsi="方正仿宋_GBK" w:eastAsia="方正仿宋_GBK" w:cs="方正仿宋_GBK"/>
          <w:sz w:val="32"/>
          <w:szCs w:val="32"/>
        </w:rPr>
        <w:t>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eastAsia="方正仿宋_GBK" w:cs="Times New Roman"/>
          <w:kern w:val="0"/>
          <w:sz w:val="32"/>
          <w:szCs w:val="32"/>
          <w:lang w:val="en-US" w:eastAsia="zh-CN" w:bidi="ar"/>
        </w:rPr>
        <w:t>19</w:t>
      </w:r>
      <w:r>
        <w:rPr>
          <w:rFonts w:hint="eastAsia" w:ascii="方正仿宋_GBK" w:hAnsi="方正仿宋_GBK" w:eastAsia="方正仿宋_GBK" w:cs="方正仿宋_GBK"/>
          <w:sz w:val="32"/>
          <w:szCs w:val="32"/>
          <w:lang w:val="en-US" w:eastAsia="zh-CN"/>
        </w:rPr>
        <w:t>）</w:t>
      </w:r>
    </w:p>
    <w:p w14:paraId="06A530D2">
      <w:pPr>
        <w:keepNext w:val="0"/>
        <w:keepLines w:val="0"/>
        <w:pageBreakBefore w:val="0"/>
        <w:widowControl w:val="0"/>
        <w:kinsoku/>
        <w:wordWrap/>
        <w:overflowPunct/>
        <w:topLinePunct w:val="0"/>
        <w:bidi w:val="0"/>
        <w:spacing w:beforeLines="0" w:afterLines="0" w:line="6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七、</w:t>
      </w:r>
      <w:r>
        <w:rPr>
          <w:rFonts w:hint="default" w:ascii="方正仿宋_GBK" w:hAnsi="方正仿宋_GBK" w:eastAsia="方正仿宋_GBK" w:cs="方正仿宋_GBK"/>
          <w:sz w:val="32"/>
          <w:szCs w:val="32"/>
        </w:rPr>
        <w:t>广东省知识产权公共服务支撑关键技术试点（广州专利</w:t>
      </w:r>
      <w:r>
        <w:rPr>
          <w:rFonts w:hint="default" w:ascii="方正仿宋_GBK" w:hAnsi="方正仿宋_GBK" w:eastAsia="方正仿宋_GBK" w:cs="方正仿宋_GBK"/>
          <w:spacing w:val="-28"/>
          <w:sz w:val="32"/>
          <w:szCs w:val="32"/>
        </w:rPr>
        <w:t>专项服务项</w:t>
      </w:r>
      <w:r>
        <w:rPr>
          <w:rFonts w:hint="default" w:ascii="方正仿宋_GBK" w:hAnsi="方正仿宋_GBK" w:eastAsia="方正仿宋_GBK" w:cs="方正仿宋_GBK"/>
          <w:sz w:val="32"/>
          <w:szCs w:val="32"/>
        </w:rPr>
        <w:t>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kern w:val="0"/>
          <w:sz w:val="32"/>
          <w:szCs w:val="32"/>
          <w:lang w:val="en-US" w:eastAsia="zh-CN" w:bidi="ar"/>
        </w:rPr>
        <w:t>2</w:t>
      </w:r>
      <w:r>
        <w:rPr>
          <w:rFonts w:hint="eastAsia" w:eastAsia="方正仿宋_GBK" w:cs="Times New Roman"/>
          <w:kern w:val="0"/>
          <w:sz w:val="32"/>
          <w:szCs w:val="32"/>
          <w:lang w:val="en-US" w:eastAsia="zh-CN" w:bidi="ar"/>
        </w:rPr>
        <w:t>1</w:t>
      </w:r>
      <w:r>
        <w:rPr>
          <w:rFonts w:hint="eastAsia" w:ascii="方正仿宋_GBK" w:hAnsi="方正仿宋_GBK" w:eastAsia="方正仿宋_GBK" w:cs="方正仿宋_GBK"/>
          <w:sz w:val="32"/>
          <w:szCs w:val="32"/>
          <w:lang w:val="en-US" w:eastAsia="zh-CN"/>
        </w:rPr>
        <w:t>）</w:t>
      </w:r>
    </w:p>
    <w:p w14:paraId="523DB756">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jc w:val="center"/>
        <w:textAlignment w:val="auto"/>
        <w:rPr>
          <w:rFonts w:hint="eastAsia" w:ascii="方正仿宋_GBK" w:hAnsi="方正仿宋_GBK" w:eastAsia="方正仿宋_GBK" w:cs="方正仿宋_GBK"/>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964" w:footer="1588" w:gutter="0"/>
          <w:pgNumType w:fmt="decimal" w:start="1"/>
          <w:cols w:space="720" w:num="1"/>
          <w:titlePg/>
          <w:rtlGutter w:val="0"/>
          <w:docGrid w:type="lines" w:linePitch="435" w:charSpace="-6554"/>
        </w:sect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rPr>
        <w:t>广东省知识产权信息公共服务网络建设（广州服务效能</w:t>
      </w:r>
      <w:r>
        <w:rPr>
          <w:rFonts w:hint="default" w:ascii="方正仿宋_GBK" w:hAnsi="方正仿宋_GBK" w:eastAsia="方正仿宋_GBK" w:cs="方正仿宋_GBK"/>
          <w:spacing w:val="-45"/>
          <w:sz w:val="32"/>
          <w:szCs w:val="32"/>
        </w:rPr>
        <w:t>提升服务项</w:t>
      </w:r>
      <w:r>
        <w:rPr>
          <w:rFonts w:hint="default" w:ascii="方正仿宋_GBK" w:hAnsi="方正仿宋_GBK" w:eastAsia="方正仿宋_GBK" w:cs="方正仿宋_GBK"/>
          <w:sz w:val="32"/>
          <w:szCs w:val="32"/>
        </w:rPr>
        <w:t>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kern w:val="0"/>
          <w:sz w:val="32"/>
          <w:szCs w:val="32"/>
          <w:lang w:val="en-US" w:eastAsia="zh-CN" w:bidi="ar"/>
        </w:rPr>
        <w:t>2</w:t>
      </w:r>
      <w:r>
        <w:rPr>
          <w:rFonts w:hint="eastAsia" w:eastAsia="方正仿宋_GBK" w:cs="Times New Roman"/>
          <w:kern w:val="0"/>
          <w:sz w:val="32"/>
          <w:szCs w:val="32"/>
          <w:lang w:val="en-US" w:eastAsia="zh-CN" w:bidi="ar"/>
        </w:rPr>
        <w:t>3</w:t>
      </w:r>
      <w:r>
        <w:rPr>
          <w:rFonts w:hint="eastAsia" w:ascii="方正仿宋_GBK" w:hAnsi="方正仿宋_GBK" w:eastAsia="方正仿宋_GBK" w:cs="方正仿宋_GBK"/>
          <w:sz w:val="32"/>
          <w:szCs w:val="32"/>
          <w:lang w:val="en-US" w:eastAsia="zh-CN"/>
        </w:rPr>
        <w:t>）</w:t>
      </w:r>
    </w:p>
    <w:p w14:paraId="6DE4B186">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jc w:val="center"/>
        <w:textAlignment w:val="auto"/>
        <w:rPr>
          <w:rFonts w:eastAsia="方正仿宋_GBK"/>
          <w:sz w:val="32"/>
          <w:szCs w:val="32"/>
        </w:rPr>
      </w:pPr>
      <w:r>
        <w:rPr>
          <w:rFonts w:hint="eastAsia" w:ascii="方正黑体_GBK" w:hAnsi="方正黑体_GBK" w:eastAsia="方正黑体_GBK" w:cs="方正黑体_GBK"/>
          <w:sz w:val="44"/>
          <w:szCs w:val="44"/>
          <w:lang w:eastAsia="zh-CN"/>
        </w:rPr>
        <w:t>总</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lang w:eastAsia="zh-CN"/>
        </w:rPr>
        <w:t>则</w:t>
      </w:r>
    </w:p>
    <w:p w14:paraId="45677B58">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根据</w:t>
      </w:r>
      <w:r>
        <w:rPr>
          <w:rFonts w:ascii="Times New Roman" w:hAnsi="Times New Roman" w:eastAsia="方正仿宋_GBK" w:cs="Times New Roman"/>
          <w:i w:val="0"/>
          <w:iCs w:val="0"/>
          <w:caps w:val="0"/>
          <w:color w:val="333333"/>
          <w:spacing w:val="0"/>
          <w:sz w:val="32"/>
          <w:szCs w:val="32"/>
          <w:shd w:val="clear" w:color="auto" w:fill="auto"/>
        </w:rPr>
        <w:t>《广东省财政厅 广东省市场监管局关于印发〈广东省市场监督管理局（知识产权局）经管省财政专项资金管理办法（2024年修订）〉的通知》（粤财工〔2024〕2号）</w:t>
      </w:r>
      <w:r>
        <w:rPr>
          <w:rFonts w:hint="default" w:ascii="Times New Roman" w:hAnsi="Times New Roman" w:eastAsia="方正仿宋_GBK" w:cs="Times New Roman"/>
          <w:i w:val="0"/>
          <w:iCs w:val="0"/>
          <w:caps w:val="0"/>
          <w:color w:val="333333"/>
          <w:spacing w:val="0"/>
          <w:sz w:val="32"/>
          <w:szCs w:val="32"/>
          <w:shd w:val="clear" w:color="auto" w:fill="auto"/>
          <w:lang w:eastAsia="zh-CN"/>
        </w:rPr>
        <w:t>和</w:t>
      </w:r>
      <w:r>
        <w:rPr>
          <w:rFonts w:ascii="Times New Roman" w:hAnsi="Times New Roman" w:eastAsia="方正仿宋_GBK" w:cs="Times New Roman"/>
          <w:sz w:val="32"/>
          <w:szCs w:val="32"/>
        </w:rPr>
        <w:t>《</w:t>
      </w:r>
      <w:r>
        <w:rPr>
          <w:rFonts w:hint="eastAsia" w:eastAsia="方正仿宋_GBK"/>
          <w:sz w:val="32"/>
          <w:szCs w:val="32"/>
        </w:rPr>
        <w:t>广州市知识产权局关于印发广州市知识产权工作专项资金管理办法的通知</w:t>
      </w:r>
      <w:r>
        <w:rPr>
          <w:rFonts w:eastAsia="方正仿宋_GBK"/>
          <w:sz w:val="32"/>
          <w:szCs w:val="32"/>
        </w:rPr>
        <w:t>》</w:t>
      </w:r>
      <w:r>
        <w:rPr>
          <w:rFonts w:hint="eastAsia" w:eastAsia="方正仿宋_GBK"/>
          <w:sz w:val="32"/>
          <w:szCs w:val="32"/>
          <w:lang w:eastAsia="zh-CN"/>
        </w:rPr>
        <w:t>（</w:t>
      </w:r>
      <w:r>
        <w:rPr>
          <w:rFonts w:eastAsia="方正仿宋_GBK"/>
          <w:sz w:val="32"/>
          <w:szCs w:val="32"/>
        </w:rPr>
        <w:t>穗知规字〔2023〕1号</w:t>
      </w:r>
      <w:r>
        <w:rPr>
          <w:rFonts w:hint="eastAsia" w:eastAsia="方正仿宋_GBK"/>
          <w:sz w:val="32"/>
          <w:szCs w:val="32"/>
          <w:lang w:eastAsia="zh-CN"/>
        </w:rPr>
        <w:t>）</w:t>
      </w:r>
      <w:r>
        <w:rPr>
          <w:rFonts w:eastAsia="方正仿宋_GBK"/>
          <w:sz w:val="32"/>
          <w:szCs w:val="32"/>
        </w:rPr>
        <w:t>，现制定《</w:t>
      </w:r>
      <w:r>
        <w:rPr>
          <w:rFonts w:hint="eastAsia" w:ascii="Times New Roman" w:hAnsi="Times New Roman" w:eastAsia="方正仿宋_GBK" w:cs="Times New Roman"/>
          <w:b w:val="0"/>
          <w:bCs w:val="0"/>
          <w:sz w:val="32"/>
          <w:szCs w:val="32"/>
          <w:u w:val="none"/>
          <w:lang w:val="en-US" w:eastAsia="zh-CN"/>
        </w:rPr>
        <w:t>2026年度省级市场监管管理专项资金</w:t>
      </w:r>
      <w:r>
        <w:rPr>
          <w:rFonts w:hint="eastAsia" w:eastAsia="方正仿宋_GBK" w:cs="Times New Roman"/>
          <w:b w:val="0"/>
          <w:bCs w:val="0"/>
          <w:sz w:val="32"/>
          <w:szCs w:val="32"/>
          <w:u w:val="none"/>
          <w:lang w:val="en-US" w:eastAsia="zh-CN"/>
        </w:rPr>
        <w:t>转移</w:t>
      </w:r>
      <w:r>
        <w:rPr>
          <w:rFonts w:hint="eastAsia" w:ascii="Times New Roman" w:hAnsi="Times New Roman" w:eastAsia="方正仿宋_GBK" w:cs="Times New Roman"/>
          <w:b w:val="0"/>
          <w:bCs w:val="0"/>
          <w:sz w:val="32"/>
          <w:szCs w:val="32"/>
          <w:u w:val="none"/>
          <w:lang w:val="en-US" w:eastAsia="zh-CN"/>
        </w:rPr>
        <w:t>广州市知识产权促进类项目</w:t>
      </w:r>
      <w:r>
        <w:rPr>
          <w:rFonts w:eastAsia="方正仿宋_GBK"/>
          <w:sz w:val="32"/>
          <w:szCs w:val="32"/>
        </w:rPr>
        <w:t>申报指南》。有关申报事项说明如下：</w:t>
      </w:r>
    </w:p>
    <w:p w14:paraId="7791A3B6">
      <w:pPr>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一、申报时间</w:t>
      </w:r>
    </w:p>
    <w:p w14:paraId="1B9076C7">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2</w:t>
      </w:r>
      <w:r>
        <w:rPr>
          <w:rFonts w:hint="eastAsia" w:eastAsia="方正仿宋_GBK"/>
          <w:sz w:val="32"/>
          <w:szCs w:val="32"/>
        </w:rPr>
        <w:t>月</w:t>
      </w:r>
      <w:r>
        <w:rPr>
          <w:rFonts w:hint="eastAsia" w:eastAsia="方正仿宋_GBK"/>
          <w:sz w:val="32"/>
          <w:szCs w:val="32"/>
          <w:lang w:val="en-US" w:eastAsia="zh-CN"/>
        </w:rPr>
        <w:t>3</w:t>
      </w:r>
      <w:r>
        <w:rPr>
          <w:rFonts w:eastAsia="方正仿宋_GBK"/>
          <w:sz w:val="32"/>
          <w:szCs w:val="32"/>
        </w:rPr>
        <w:t>日</w:t>
      </w:r>
      <w:r>
        <w:rPr>
          <w:rFonts w:hint="eastAsia" w:eastAsia="方正仿宋_GBK"/>
          <w:sz w:val="32"/>
          <w:szCs w:val="32"/>
          <w:lang w:eastAsia="zh-CN"/>
        </w:rPr>
        <w:t>（星期</w:t>
      </w:r>
      <w:r>
        <w:rPr>
          <w:rFonts w:hint="eastAsia" w:eastAsia="方正仿宋_GBK"/>
          <w:sz w:val="32"/>
          <w:szCs w:val="32"/>
          <w:lang w:val="en-US" w:eastAsia="zh-CN"/>
        </w:rPr>
        <w:t>二</w:t>
      </w:r>
      <w:r>
        <w:rPr>
          <w:rFonts w:hint="eastAsia" w:eastAsia="方正仿宋_GBK"/>
          <w:sz w:val="32"/>
          <w:szCs w:val="32"/>
          <w:lang w:eastAsia="zh-CN"/>
        </w:rPr>
        <w:t>）</w:t>
      </w:r>
      <w:r>
        <w:rPr>
          <w:rFonts w:hint="eastAsia" w:eastAsia="方正仿宋_GBK"/>
          <w:sz w:val="32"/>
          <w:szCs w:val="32"/>
          <w:lang w:val="en-US" w:eastAsia="zh-CN"/>
        </w:rPr>
        <w:t>9:00</w:t>
      </w:r>
      <w:r>
        <w:rPr>
          <w:rFonts w:eastAsia="方正仿宋_GBK"/>
          <w:sz w:val="32"/>
          <w:szCs w:val="32"/>
        </w:rPr>
        <w:t>至</w:t>
      </w:r>
      <w:r>
        <w:rPr>
          <w:rFonts w:hint="eastAsia" w:eastAsia="方正仿宋_GBK"/>
          <w:sz w:val="32"/>
          <w:szCs w:val="32"/>
          <w:lang w:val="en-US" w:eastAsia="zh-CN"/>
        </w:rPr>
        <w:t>2</w:t>
      </w:r>
      <w:r>
        <w:rPr>
          <w:rFonts w:eastAsia="方正仿宋_GBK"/>
          <w:sz w:val="32"/>
          <w:szCs w:val="32"/>
        </w:rPr>
        <w:t>月</w:t>
      </w:r>
      <w:r>
        <w:rPr>
          <w:rFonts w:hint="eastAsia" w:eastAsia="方正仿宋_GBK"/>
          <w:sz w:val="32"/>
          <w:szCs w:val="32"/>
          <w:lang w:val="en-US" w:eastAsia="zh-CN"/>
        </w:rPr>
        <w:t>25</w:t>
      </w:r>
      <w:r>
        <w:rPr>
          <w:rFonts w:eastAsia="方正仿宋_GBK"/>
          <w:sz w:val="32"/>
          <w:szCs w:val="32"/>
        </w:rPr>
        <w:t>日（星期</w:t>
      </w:r>
      <w:r>
        <w:rPr>
          <w:rFonts w:hint="eastAsia" w:eastAsia="方正仿宋_GBK"/>
          <w:sz w:val="32"/>
          <w:szCs w:val="32"/>
          <w:lang w:val="en-US" w:eastAsia="zh-CN"/>
        </w:rPr>
        <w:t>三</w:t>
      </w:r>
      <w:r>
        <w:rPr>
          <w:rFonts w:eastAsia="方正仿宋_GBK"/>
          <w:sz w:val="32"/>
          <w:szCs w:val="32"/>
        </w:rPr>
        <w:t>）17:00时截止，逾期不再受理。</w:t>
      </w:r>
    </w:p>
    <w:p w14:paraId="7EE36356">
      <w:pPr>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二、申报要求</w:t>
      </w:r>
    </w:p>
    <w:p w14:paraId="2FC24E67">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楷体_GBK"/>
          <w:kern w:val="2"/>
          <w:sz w:val="32"/>
          <w:szCs w:val="32"/>
        </w:rPr>
        <w:t>（一）申报</w:t>
      </w:r>
      <w:r>
        <w:rPr>
          <w:rFonts w:hint="eastAsia" w:eastAsia="方正楷体_GBK"/>
          <w:kern w:val="2"/>
          <w:sz w:val="32"/>
          <w:szCs w:val="32"/>
          <w:lang w:eastAsia="zh-CN"/>
        </w:rPr>
        <w:t>人</w:t>
      </w:r>
      <w:r>
        <w:rPr>
          <w:rFonts w:eastAsia="方正楷体_GBK"/>
          <w:kern w:val="2"/>
          <w:sz w:val="32"/>
          <w:szCs w:val="32"/>
        </w:rPr>
        <w:t>。</w:t>
      </w:r>
      <w:r>
        <w:rPr>
          <w:rFonts w:hint="eastAsia" w:ascii="Times New Roman" w:hAnsi="Times New Roman" w:eastAsia="方正仿宋_GBK" w:cs="Times New Roman"/>
          <w:sz w:val="32"/>
          <w:szCs w:val="32"/>
          <w:lang w:eastAsia="zh-CN"/>
        </w:rPr>
        <w:t>申报人应有良好的社会信誉，依法经营，规范管理，经营和财务状况良好，具有健全的核算和会计制度，具有完成知识产权项目的工作基础和实施条件，严格执行国家、省、市有关知识产权方面的法律法规，未被列入严重失信主体名单（</w:t>
      </w:r>
      <w:r>
        <w:rPr>
          <w:rFonts w:hint="eastAsia" w:ascii="Times New Roman" w:hAnsi="Times New Roman" w:eastAsia="方正仿宋_GBK" w:cs="Times New Roman"/>
          <w:sz w:val="32"/>
          <w:szCs w:val="32"/>
          <w:lang w:val="en-US" w:eastAsia="zh-CN"/>
        </w:rPr>
        <w:t>如为社会组织未被列入活动异常名录；如为企业未被列入经营异常名录，没有进入破产清算程序</w:t>
      </w:r>
      <w:r>
        <w:rPr>
          <w:rFonts w:hint="eastAsia" w:ascii="Times New Roman" w:hAnsi="Times New Roman" w:eastAsia="方正仿宋_GBK" w:cs="Times New Roman"/>
          <w:sz w:val="32"/>
          <w:szCs w:val="32"/>
          <w:lang w:eastAsia="zh-CN"/>
        </w:rPr>
        <w:t>），且符合《广东省市场监督管理局（知识产权局）经管省财政专项资金管理办法（2024年修订）》《广州市知识产权工作专项资金管理办法》的规定和本项目申报指南的具体要求。截至202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年底，承担的</w:t>
      </w:r>
      <w:r>
        <w:rPr>
          <w:rFonts w:hint="eastAsia" w:ascii="方正仿宋_GBK" w:hAnsi="方正仿宋_GBK" w:eastAsia="方正仿宋_GBK" w:cs="方正仿宋_GBK"/>
          <w:sz w:val="32"/>
          <w:szCs w:val="32"/>
          <w:highlight w:val="none"/>
        </w:rPr>
        <w:t>市知识产权前补助项目</w:t>
      </w:r>
      <w:r>
        <w:rPr>
          <w:rFonts w:hint="eastAsia" w:ascii="方正仿宋_GBK" w:hAnsi="方正仿宋_GBK" w:eastAsia="方正仿宋_GBK" w:cs="方正仿宋_GBK"/>
          <w:sz w:val="32"/>
          <w:szCs w:val="32"/>
          <w:highlight w:val="none"/>
          <w:lang w:eastAsia="zh-CN"/>
        </w:rPr>
        <w:t>无正在整改的情况，且此次申报项目未获得各级财政知识产权项目支持</w:t>
      </w:r>
      <w:r>
        <w:rPr>
          <w:rFonts w:hint="eastAsia" w:ascii="Times New Roman" w:hAnsi="Times New Roman" w:eastAsia="方正仿宋_GBK" w:cs="Times New Roman"/>
          <w:sz w:val="32"/>
          <w:szCs w:val="32"/>
          <w:lang w:eastAsia="zh-CN"/>
        </w:rPr>
        <w:t>。</w:t>
      </w:r>
    </w:p>
    <w:p w14:paraId="22676F83">
      <w:pPr>
        <w:pStyle w:val="1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仿宋_GB2312"/>
          <w:sz w:val="32"/>
          <w:szCs w:val="32"/>
        </w:rPr>
      </w:pPr>
      <w:r>
        <w:rPr>
          <w:rFonts w:eastAsia="方正楷体_GBK"/>
          <w:sz w:val="32"/>
          <w:szCs w:val="32"/>
        </w:rPr>
        <w:t>（二）申报材料。</w:t>
      </w:r>
      <w:r>
        <w:rPr>
          <w:rFonts w:eastAsia="方正仿宋_GBK"/>
          <w:sz w:val="32"/>
          <w:szCs w:val="32"/>
        </w:rPr>
        <w:t>申报人须将申报材料原件扫描后按顺序制作成彩色PDF格式电子版，按项目申报指南的要求，在申报系统中填写申报信息并上传申报材料电子版。</w:t>
      </w:r>
    </w:p>
    <w:p w14:paraId="4A4A59EF">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仿宋_GB2312"/>
          <w:sz w:val="32"/>
          <w:szCs w:val="32"/>
        </w:rPr>
      </w:pPr>
      <w:r>
        <w:rPr>
          <w:rFonts w:eastAsia="方正楷体_GBK"/>
          <w:sz w:val="32"/>
          <w:szCs w:val="32"/>
        </w:rPr>
        <w:t>（三）合法性承诺。</w:t>
      </w:r>
      <w:r>
        <w:rPr>
          <w:rFonts w:eastAsia="方正仿宋_GBK"/>
          <w:sz w:val="32"/>
          <w:szCs w:val="32"/>
        </w:rPr>
        <w:t>申报人对申报项目和申报材料的真实性、合法性和可行性负责。申报人在专项资金申报、管理、使用过程中存在虚报、挤占、挪用等违法违规行为的，市（区）</w:t>
      </w:r>
      <w:r>
        <w:rPr>
          <w:rFonts w:hint="eastAsia" w:eastAsia="方正仿宋_GBK"/>
          <w:sz w:val="32"/>
          <w:szCs w:val="32"/>
          <w:lang w:eastAsia="zh-CN"/>
        </w:rPr>
        <w:t>知识产权</w:t>
      </w:r>
      <w:r>
        <w:rPr>
          <w:rFonts w:eastAsia="方正仿宋_GBK"/>
          <w:sz w:val="32"/>
          <w:szCs w:val="32"/>
        </w:rPr>
        <w:t>局依法依规作出严肃处理，追回专项资金；涉嫌犯罪的，依法移送司法机关处理。</w:t>
      </w:r>
    </w:p>
    <w:p w14:paraId="392AC69D">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（四）具体项目申报指南中另有要求的，须同时满足。</w:t>
      </w:r>
    </w:p>
    <w:p w14:paraId="5798AC81">
      <w:pPr>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三、申报流程</w:t>
      </w:r>
    </w:p>
    <w:p w14:paraId="5DCA618D">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（一）申报方式</w:t>
      </w:r>
    </w:p>
    <w:p w14:paraId="0268771C">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1.网上申报</w:t>
      </w:r>
    </w:p>
    <w:p w14:paraId="266D7ED3">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详细指引</w:t>
      </w:r>
      <w:r>
        <w:rPr>
          <w:rFonts w:eastAsia="方正仿宋_GBK"/>
          <w:sz w:val="32"/>
          <w:szCs w:val="32"/>
        </w:rPr>
        <w:t>请</w:t>
      </w:r>
      <w:r>
        <w:rPr>
          <w:rFonts w:hint="eastAsia" w:eastAsia="方正仿宋_GBK"/>
          <w:sz w:val="32"/>
          <w:szCs w:val="32"/>
        </w:rPr>
        <w:t>阅读附件3</w:t>
      </w:r>
      <w:r>
        <w:rPr>
          <w:rFonts w:eastAsia="方正仿宋_GBK"/>
          <w:sz w:val="32"/>
          <w:szCs w:val="32"/>
        </w:rPr>
        <w:t>《广州市知识产权项目网络申报操作指引》。</w:t>
      </w:r>
    </w:p>
    <w:p w14:paraId="39D0BAD9">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2.窗口申报</w:t>
      </w:r>
    </w:p>
    <w:p w14:paraId="720212F7">
      <w:pPr>
        <w:pStyle w:val="13"/>
        <w:keepNext w:val="0"/>
        <w:keepLines w:val="0"/>
        <w:pageBreakBefore w:val="0"/>
        <w:widowControl w:val="0"/>
        <w:kinsoku/>
        <w:wordWrap/>
        <w:overflowPunct/>
        <w:topLinePunct w:val="0"/>
        <w:bidi w:val="0"/>
        <w:spacing w:beforeLines="0" w:afterLines="0" w:line="600" w:lineRule="exact"/>
        <w:ind w:firstLine="640"/>
        <w:textAlignment w:val="auto"/>
        <w:rPr>
          <w:rFonts w:hint="eastAsia" w:eastAsia="方正仿宋_GBK"/>
          <w:sz w:val="32"/>
          <w:szCs w:val="32"/>
        </w:rPr>
      </w:pPr>
      <w:r>
        <w:rPr>
          <w:rFonts w:eastAsia="方正仿宋_GBK"/>
          <w:sz w:val="32"/>
          <w:szCs w:val="32"/>
        </w:rPr>
        <w:t>申报人如不方便使用网上申报，可带齐申报材料，到广州市政务服务中心政策兑现窗口（广州市珠江新城华利路61号）办理。</w:t>
      </w:r>
      <w:r>
        <w:rPr>
          <w:rFonts w:hint="eastAsia" w:eastAsia="方正仿宋_GBK"/>
          <w:sz w:val="32"/>
          <w:szCs w:val="32"/>
        </w:rPr>
        <w:t>咨询</w:t>
      </w:r>
      <w:r>
        <w:rPr>
          <w:rFonts w:eastAsia="方正仿宋_GBK"/>
          <w:sz w:val="32"/>
          <w:szCs w:val="32"/>
        </w:rPr>
        <w:t>电话：</w:t>
      </w:r>
      <w:r>
        <w:rPr>
          <w:rFonts w:hint="eastAsia" w:eastAsia="方正仿宋_GBK"/>
          <w:sz w:val="32"/>
          <w:szCs w:val="32"/>
          <w:lang w:val="en-US" w:eastAsia="zh-CN"/>
        </w:rPr>
        <w:t>12345</w:t>
      </w:r>
      <w:r>
        <w:rPr>
          <w:rFonts w:hint="eastAsia" w:eastAsia="方正仿宋_GBK"/>
          <w:sz w:val="32"/>
          <w:szCs w:val="32"/>
        </w:rPr>
        <w:t>。</w:t>
      </w:r>
    </w:p>
    <w:p w14:paraId="288D2EEA">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（二）受理审核</w:t>
      </w:r>
    </w:p>
    <w:p w14:paraId="3BFEF5BB">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rPr>
      </w:pPr>
      <w:r>
        <w:rPr>
          <w:rFonts w:eastAsia="方正仿宋_GBK"/>
          <w:kern w:val="0"/>
          <w:sz w:val="32"/>
          <w:szCs w:val="32"/>
        </w:rPr>
        <w:t>区知识产权局按照辖区管理原则，推荐申报项目</w:t>
      </w:r>
      <w:r>
        <w:rPr>
          <w:rFonts w:eastAsia="方正仿宋_GBK"/>
          <w:sz w:val="32"/>
          <w:szCs w:val="32"/>
        </w:rPr>
        <w:t>。</w:t>
      </w:r>
      <w:r>
        <w:rPr>
          <w:rFonts w:hint="eastAsia" w:eastAsia="方正仿宋_GBK"/>
          <w:sz w:val="32"/>
          <w:szCs w:val="32"/>
        </w:rPr>
        <w:t>市知识产权局组织开展申报项目形式审查、专家评审、结果公示等工作。</w:t>
      </w:r>
    </w:p>
    <w:p w14:paraId="0D144275">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default" w:ascii="Times New Roman" w:hAnsi="Times New Roman" w:eastAsia="方正楷体_GBK" w:cs="Times New Roman"/>
          <w:sz w:val="32"/>
          <w:szCs w:val="32"/>
        </w:rPr>
        <w:t>项目入库</w:t>
      </w:r>
    </w:p>
    <w:p w14:paraId="6ADFE6BF">
      <w:pPr>
        <w:pStyle w:val="13"/>
        <w:spacing w:beforeLines="0" w:afterLines="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w:t>
      </w:r>
      <w:r>
        <w:rPr>
          <w:rFonts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rPr>
        <w:t>将按照专家评审结果排序进入</w:t>
      </w:r>
      <w:r>
        <w:rPr>
          <w:rFonts w:hint="eastAsia" w:ascii="Times New Roman" w:hAnsi="Times New Roman" w:eastAsia="方正仿宋_GBK" w:cs="Times New Roman"/>
          <w:kern w:val="0"/>
          <w:sz w:val="32"/>
          <w:szCs w:val="32"/>
          <w:lang w:eastAsia="zh-CN"/>
        </w:rPr>
        <w:t>广州市知识产权</w:t>
      </w:r>
      <w:r>
        <w:rPr>
          <w:rFonts w:hint="default" w:ascii="Times New Roman" w:hAnsi="Times New Roman" w:eastAsia="方正仿宋_GBK" w:cs="Times New Roman"/>
          <w:kern w:val="0"/>
          <w:sz w:val="32"/>
          <w:szCs w:val="32"/>
        </w:rPr>
        <w:t>项目库，择优纳入</w:t>
      </w:r>
      <w:r>
        <w:rPr>
          <w:rFonts w:hint="eastAsia" w:ascii="Times New Roman" w:hAnsi="Times New Roman" w:eastAsia="方正仿宋_GBK" w:cs="Times New Roman"/>
          <w:kern w:val="0"/>
          <w:sz w:val="32"/>
          <w:szCs w:val="32"/>
          <w:lang w:eastAsia="zh-CN"/>
        </w:rPr>
        <w:t>知识产权专项</w:t>
      </w:r>
      <w:r>
        <w:rPr>
          <w:rFonts w:hint="default" w:ascii="Times New Roman" w:hAnsi="Times New Roman" w:eastAsia="方正仿宋_GBK" w:cs="Times New Roman"/>
          <w:kern w:val="0"/>
          <w:sz w:val="32"/>
          <w:szCs w:val="32"/>
        </w:rPr>
        <w:t>资金预算计划</w:t>
      </w:r>
      <w:r>
        <w:rPr>
          <w:rFonts w:hint="eastAsia" w:ascii="Times New Roman" w:hAnsi="Times New Roman" w:eastAsia="方正仿宋_GBK" w:cs="Times New Roman"/>
          <w:kern w:val="0"/>
          <w:sz w:val="32"/>
          <w:szCs w:val="32"/>
          <w:lang w:eastAsia="zh-CN"/>
        </w:rPr>
        <w:t>，</w:t>
      </w:r>
      <w:r>
        <w:rPr>
          <w:rFonts w:hint="eastAsia" w:eastAsia="方正仿宋_GBK" w:cs="Times New Roman"/>
          <w:kern w:val="0"/>
          <w:sz w:val="32"/>
          <w:szCs w:val="32"/>
          <w:lang w:eastAsia="zh-CN"/>
        </w:rPr>
        <w:t>市知识产权</w:t>
      </w:r>
      <w:r>
        <w:rPr>
          <w:rFonts w:hint="default" w:ascii="Times New Roman" w:hAnsi="Times New Roman" w:eastAsia="方正仿宋_GBK" w:cs="Times New Roman"/>
          <w:kern w:val="0"/>
          <w:sz w:val="32"/>
          <w:szCs w:val="32"/>
        </w:rPr>
        <w:t>局将根据项目预算等实际情况综合确定项目是否立项。</w:t>
      </w:r>
    </w:p>
    <w:p w14:paraId="3617D842">
      <w:pPr>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四、</w:t>
      </w:r>
      <w:r>
        <w:rPr>
          <w:rFonts w:hint="eastAsia" w:eastAsia="方正黑体_GBK"/>
          <w:sz w:val="32"/>
          <w:szCs w:val="32"/>
        </w:rPr>
        <w:t>业务</w:t>
      </w:r>
      <w:r>
        <w:rPr>
          <w:rFonts w:eastAsia="方正黑体_GBK"/>
          <w:sz w:val="32"/>
          <w:szCs w:val="32"/>
        </w:rPr>
        <w:t>咨询电话</w:t>
      </w:r>
    </w:p>
    <w:p w14:paraId="13DD1E6C">
      <w:pPr>
        <w:pStyle w:val="13"/>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仿宋_GBK"/>
          <w:sz w:val="32"/>
          <w:szCs w:val="32"/>
        </w:rPr>
      </w:pPr>
      <w:r>
        <w:rPr>
          <w:rFonts w:hint="eastAsia" w:eastAsia="方正仿宋_GBK"/>
          <w:sz w:val="32"/>
          <w:szCs w:val="32"/>
          <w:lang w:eastAsia="zh-CN"/>
        </w:rPr>
        <w:t>业务咨询</w:t>
      </w:r>
      <w:r>
        <w:rPr>
          <w:rFonts w:eastAsia="方正仿宋_GBK"/>
          <w:sz w:val="32"/>
          <w:szCs w:val="32"/>
        </w:rPr>
        <w:t>详见</w:t>
      </w:r>
      <w:r>
        <w:rPr>
          <w:rFonts w:hint="eastAsia" w:eastAsia="方正仿宋_GBK"/>
          <w:sz w:val="32"/>
          <w:szCs w:val="32"/>
        </w:rPr>
        <w:t>各项目联系人</w:t>
      </w:r>
      <w:r>
        <w:rPr>
          <w:rFonts w:hint="eastAsia" w:eastAsia="方正仿宋_GBK"/>
          <w:sz w:val="32"/>
          <w:szCs w:val="32"/>
          <w:lang w:eastAsia="zh-CN"/>
        </w:rPr>
        <w:t>及</w:t>
      </w:r>
      <w:r>
        <w:rPr>
          <w:rFonts w:eastAsia="方正仿宋_GBK"/>
          <w:sz w:val="32"/>
          <w:szCs w:val="32"/>
        </w:rPr>
        <w:t>联系方式；</w:t>
      </w:r>
      <w:r>
        <w:rPr>
          <w:rFonts w:hint="eastAsia" w:eastAsia="方正仿宋_GBK"/>
          <w:sz w:val="32"/>
          <w:szCs w:val="32"/>
          <w:lang w:eastAsia="zh-CN"/>
        </w:rPr>
        <w:t>申报咨询联系</w:t>
      </w:r>
      <w:r>
        <w:rPr>
          <w:rFonts w:eastAsia="方正仿宋_GBK"/>
          <w:sz w:val="32"/>
          <w:szCs w:val="32"/>
        </w:rPr>
        <w:t>81309319、81303421、81309062。</w:t>
      </w:r>
    </w:p>
    <w:p w14:paraId="1A927631">
      <w:pPr>
        <w:pStyle w:val="13"/>
        <w:keepNext w:val="0"/>
        <w:keepLines w:val="0"/>
        <w:pageBreakBefore w:val="0"/>
        <w:widowControl w:val="0"/>
        <w:kinsoku/>
        <w:wordWrap/>
        <w:overflowPunct/>
        <w:topLinePunct w:val="0"/>
        <w:bidi w:val="0"/>
        <w:spacing w:beforeLines="0" w:afterLines="0" w:line="600" w:lineRule="exact"/>
        <w:ind w:firstLine="640" w:firstLineChars="200"/>
        <w:textAlignment w:val="auto"/>
      </w:pPr>
      <w:r>
        <w:rPr>
          <w:rFonts w:eastAsia="方正仿宋_GBK"/>
          <w:sz w:val="32"/>
          <w:szCs w:val="32"/>
        </w:rPr>
        <w:t>咨询时间：工作日上午9:00-12:00，下午14:00-18:00。</w:t>
      </w:r>
    </w:p>
    <w:p w14:paraId="516A38D7">
      <w:pPr>
        <w:spacing w:beforeLines="0" w:afterLines="0" w:line="600" w:lineRule="exact"/>
        <w:jc w:val="center"/>
        <w:rPr>
          <w:rFonts w:hint="eastAsia" w:ascii="方正小标宋_GBK" w:hAnsi="方正小标宋_GBK" w:eastAsia="方正小标宋_GBK" w:cs="方正小标宋_GBK"/>
          <w:sz w:val="44"/>
          <w:szCs w:val="44"/>
          <w:highlight w:val="none"/>
          <w:lang w:val="en-US" w:eastAsia="zh-CN"/>
        </w:rPr>
      </w:pPr>
    </w:p>
    <w:p w14:paraId="023E26EF">
      <w:pPr>
        <w:spacing w:beforeLines="0" w:afterLines="0" w:line="600" w:lineRule="exact"/>
        <w:rPr>
          <w:rFonts w:hint="eastAsia" w:eastAsia="方正黑体_GBK"/>
          <w:sz w:val="32"/>
          <w:szCs w:val="32"/>
          <w:highlight w:val="none"/>
          <w:lang w:val="en-US" w:eastAsia="zh-CN"/>
        </w:rPr>
      </w:pPr>
    </w:p>
    <w:p w14:paraId="2F0D2D2E">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br w:type="page"/>
      </w:r>
      <w:r>
        <w:rPr>
          <w:rFonts w:hint="eastAsia" w:eastAsia="方正黑体_GBK"/>
          <w:sz w:val="32"/>
          <w:szCs w:val="32"/>
          <w:highlight w:val="none"/>
          <w:lang w:val="en-US" w:eastAsia="zh-CN"/>
        </w:rPr>
        <w:t>一、</w:t>
      </w:r>
      <w:r>
        <w:rPr>
          <w:rFonts w:hint="default" w:ascii="Times New Roman" w:hAnsi="Times New Roman" w:eastAsia="方正黑体_GBK" w:cs="Times New Roman"/>
          <w:sz w:val="32"/>
          <w:szCs w:val="32"/>
          <w:highlight w:val="none"/>
        </w:rPr>
        <w:t>广东省海外专利布局促进项目（广州）</w:t>
      </w:r>
    </w:p>
    <w:p w14:paraId="4845B114">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51DD3CF1">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在广州市从事经营活动的专利代理机构。</w:t>
      </w:r>
    </w:p>
    <w:p w14:paraId="6623C3EA">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765B25B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（1）代理机构拥有专业的管理团队，具备依法开展知识产权事务咨询、知识产权服务、PCT国际专利申请代理的能力。</w:t>
      </w:r>
    </w:p>
    <w:p w14:paraId="1CF9B41E">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（2）具备组织开展企业走访、知识产权务实培训能力。</w:t>
      </w:r>
    </w:p>
    <w:p w14:paraId="6F5FD47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（3）已承担我局往年企业海外专利布局提升项目还未验收的单位不得申报。</w:t>
      </w:r>
    </w:p>
    <w:p w14:paraId="58AAF3BE">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2BD16B9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（1）走访企业不少于20家， 为具有海外专利布局需求的企业提供海外专利布局服务，提升海外专利布局能力。</w:t>
      </w:r>
    </w:p>
    <w:p w14:paraId="1AEF3A32">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w:t>
      </w:r>
      <w:r>
        <w:rPr>
          <w:rFonts w:hint="eastAsia" w:eastAsia="方正仿宋_GBK"/>
          <w:sz w:val="32"/>
          <w:szCs w:val="32"/>
          <w:highlight w:val="none"/>
        </w:rPr>
        <w:t>不少于5家企业实现海外专利布局，每家企业海外专利布局均实现同比新增，且企业实现海外布局量同比新增不少于18件。</w:t>
      </w:r>
    </w:p>
    <w:p w14:paraId="1EAB729B">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w:t>
      </w:r>
      <w:r>
        <w:rPr>
          <w:rFonts w:hint="eastAsia" w:eastAsia="方正仿宋_GBK"/>
          <w:sz w:val="32"/>
          <w:szCs w:val="32"/>
          <w:highlight w:val="none"/>
        </w:rPr>
        <w:t>不少于1家企业实现海外专利转化运用</w:t>
      </w:r>
      <w:r>
        <w:rPr>
          <w:rFonts w:hint="eastAsia" w:eastAsia="方正仿宋_GBK"/>
          <w:sz w:val="32"/>
          <w:szCs w:val="32"/>
          <w:highlight w:val="none"/>
          <w:lang w:val="en-US" w:eastAsia="zh-CN"/>
        </w:rPr>
        <w:t>。</w:t>
      </w:r>
    </w:p>
    <w:p w14:paraId="2DB2712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（4）为企业、院校、科研机构等开展海外专利布局、海外知识产权风险防范等内容专题培训不少于1场，每场半天，每场不少于40人。</w:t>
      </w:r>
    </w:p>
    <w:p w14:paraId="1058AF12">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（5）形成企业海外高水平专利布局方案。</w:t>
      </w:r>
    </w:p>
    <w:p w14:paraId="0C86EFD3">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296CA345">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前补助项目。本项目实施期自合同生效后不超过7个月，计划立项不超过2项，每项扶持金额不超过38万元。</w:t>
      </w:r>
    </w:p>
    <w:p w14:paraId="7D90EA00">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68631B15">
      <w:pPr>
        <w:pStyle w:val="15"/>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本项目申报材料除有特别要求外，统一提供原件的彩色PDF格式扫描件。</w:t>
      </w:r>
    </w:p>
    <w:p w14:paraId="672C00B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1A4CC7F2">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（2）申报人符合本项目申报条件的材料。</w:t>
      </w:r>
    </w:p>
    <w:p w14:paraId="0A53E7B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w:t>
      </w:r>
    </w:p>
    <w:p w14:paraId="1FCC970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22718D5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63FA967D">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default" w:ascii="Times New Roman" w:hAnsi="Times New Roman" w:eastAsia="方正仿宋_GBK" w:cs="Times New Roman"/>
          <w:sz w:val="32"/>
          <w:szCs w:val="32"/>
          <w:highlight w:val="none"/>
        </w:rPr>
        <w:t>（项目联系人</w:t>
      </w:r>
      <w:r>
        <w:rPr>
          <w:rFonts w:hint="default" w:ascii="Times New Roman" w:hAnsi="Times New Roman" w:eastAsia="方正仿宋_GBK" w:cs="Times New Roman"/>
          <w:sz w:val="32"/>
          <w:szCs w:val="32"/>
          <w:highlight w:val="none"/>
          <w:shd w:val="clear" w:color="auto" w:fill="auto"/>
        </w:rPr>
        <w:t>：覃校斌</w:t>
      </w:r>
      <w:r>
        <w:rPr>
          <w:rFonts w:hint="default" w:ascii="Times New Roman" w:hAnsi="Times New Roman" w:eastAsia="方正仿宋_GBK" w:cs="Times New Roman"/>
          <w:sz w:val="32"/>
          <w:szCs w:val="32"/>
          <w:highlight w:val="none"/>
        </w:rPr>
        <w:t>，联系电话：</w:t>
      </w:r>
      <w:r>
        <w:rPr>
          <w:rFonts w:hint="default" w:ascii="Times New Roman" w:hAnsi="Times New Roman" w:eastAsia="方正仿宋_GBK" w:cs="Times New Roman"/>
          <w:sz w:val="32"/>
          <w:szCs w:val="32"/>
          <w:highlight w:val="none"/>
          <w:shd w:val="clear" w:color="auto" w:fill="auto"/>
          <w:lang w:val="en-US" w:eastAsia="zh-CN"/>
        </w:rPr>
        <w:t>020-83228353</w:t>
      </w:r>
      <w:r>
        <w:rPr>
          <w:rFonts w:hint="default" w:ascii="Times New Roman" w:hAnsi="Times New Roman" w:eastAsia="方正仿宋_GBK" w:cs="Times New Roman"/>
          <w:sz w:val="32"/>
          <w:szCs w:val="32"/>
          <w:highlight w:val="none"/>
          <w:shd w:val="clear" w:color="auto" w:fill="auto"/>
        </w:rPr>
        <w:t>）</w:t>
      </w:r>
    </w:p>
    <w:p w14:paraId="79ED3675">
      <w:pPr>
        <w:keepNext w:val="0"/>
        <w:keepLines w:val="0"/>
        <w:pageBreakBefore w:val="0"/>
        <w:widowControl w:val="0"/>
        <w:kinsoku/>
        <w:wordWrap/>
        <w:overflowPunct/>
        <w:topLinePunct w:val="0"/>
        <w:bidi w:val="0"/>
        <w:adjustRightInd/>
        <w:snapToGrid/>
        <w:spacing w:beforeLines="0" w:afterLines="0" w:line="600" w:lineRule="exact"/>
        <w:ind w:left="0" w:leftChars="0" w:firstLine="0" w:firstLineChars="0"/>
        <w:textAlignment w:val="auto"/>
        <w:rPr>
          <w:rFonts w:hint="default" w:ascii="Times New Roman" w:hAnsi="Times New Roman" w:eastAsia="方正黑体_GBK" w:cs="Times New Roman"/>
          <w:sz w:val="32"/>
          <w:szCs w:val="32"/>
          <w:highlight w:val="none"/>
        </w:rPr>
        <w:sectPr>
          <w:footerReference r:id="rId10" w:type="first"/>
          <w:footerReference r:id="rId9" w:type="default"/>
          <w:pgSz w:w="11906" w:h="16838"/>
          <w:pgMar w:top="2098" w:right="1474" w:bottom="1985" w:left="1588" w:header="964" w:footer="1588" w:gutter="0"/>
          <w:pgNumType w:fmt="decimal" w:start="1"/>
          <w:cols w:space="720" w:num="1"/>
          <w:rtlGutter w:val="0"/>
          <w:docGrid w:type="lines" w:linePitch="435" w:charSpace="-6554"/>
        </w:sectPr>
      </w:pPr>
    </w:p>
    <w:p w14:paraId="27B9A293">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二、</w:t>
      </w:r>
      <w:r>
        <w:rPr>
          <w:rFonts w:hint="default" w:ascii="Times New Roman" w:hAnsi="Times New Roman" w:eastAsia="方正黑体_GBK" w:cs="Times New Roman"/>
          <w:sz w:val="32"/>
          <w:szCs w:val="32"/>
          <w:highlight w:val="none"/>
        </w:rPr>
        <w:t>广东省产业知识产权运营中心建设项目（广州）</w:t>
      </w:r>
    </w:p>
    <w:p w14:paraId="2A25EEB8">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085C2873">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区域内的企事业单位或社会组织，且未被认定为国家级产业知识产权运营中心，包括：行业领先企业、科研能力突出的科研院所、产业集聚的产业园区或全国性行业协会等。申报人可与知识产权服务机构联合申报。</w:t>
      </w:r>
    </w:p>
    <w:p w14:paraId="58D89515">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2BB814F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（1）申报人未被列入严重失信主体名单。社会组织未被列入活动异常名录；企业未被列入经营异常名录，没有进入破产清算程序。</w:t>
      </w:r>
    </w:p>
    <w:p w14:paraId="0CAB66E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（2）具有承担产业知识产权运营中心日常业务运行的专门职责机构，拥有独立开展运营中心相关业务的工作场地、数据资源、人才队伍及必要的经费保障。</w:t>
      </w:r>
    </w:p>
    <w:p w14:paraId="47E0B41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（3）申报人在产业链中应具有突出的行业影响力、服务创新能力和知识产权运营优势，能够引领带动产业链上下游各类主体协同发展。</w:t>
      </w:r>
    </w:p>
    <w:p w14:paraId="5EBBD462">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433A6AA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申报人只能申报1个产业方向，产业方向属于广州市“12218”现代化产业体系中战略性产业集群，包括智能网联与新能源汽车、超高清视频与新型显示、生物医药与健康、绿色石化与新材料、软件与互联网、智能装备与机器人、人工智能、半导体与集成电路、新能源与新型储能、低空经济与航空航天、生物制造、时尚消费品、轨道交通、船舶与海洋工程、智能建造与工业化建筑等15个产业或其中的细分产业。申报人在所申报的产业开展知识产权运营工作。</w:t>
      </w:r>
    </w:p>
    <w:p w14:paraId="2F97825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（1）开展产业知识产权运营。在产业链上下游之间以及产业链之间通过转让、许可、作价入股、投融资等方式开展转化运营。实现年度专利转让许可不少于200件次，转化运营金额不低于120万元。</w:t>
      </w:r>
    </w:p>
    <w:p w14:paraId="590BE27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（3）培育高价值专利组合。建立1个本产业高价值专利培育中心，建立相应的高价值专利培育中心组织架构及管理制度，推动知识产权融入科技研发全过程管理，产出1个以上高价值专利组合。</w:t>
      </w:r>
    </w:p>
    <w:p w14:paraId="458CD5B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促进产学研深度合作。推动100家企业登录国家知识产权局专利盘活系统开展专利订阅、评价、收藏等工作。组织高校院所专利转化对接活动5次以上。促成高校院所专利转让许可100件次以上，新增开放许可专利声明100件以上，达成开放许可60件次以上。</w:t>
      </w:r>
    </w:p>
    <w:p w14:paraId="5C069C4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（4）开展专利密集型产品备案及认定。推动专利密集型产品备案60件以上。</w:t>
      </w:r>
    </w:p>
    <w:p w14:paraId="21A2B1FB">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服务科技型、创新型中小企业。为50家以上中小企业提供专利技术概念验证、小试中试、价值评估、产业链配套对接、投融资对接、咨询等服务50次以上，收集、挖掘中小企业专利技术需求不少于100条，开展培训、宣讲、成果分享等活动5次以上。</w:t>
      </w:r>
    </w:p>
    <w:p w14:paraId="53A040DF">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（6）推进产业链强链增效。发起建设知识产权创新联合体及专利联盟1个，发起建设1个重点技术领域专利池。</w:t>
      </w:r>
    </w:p>
    <w:p w14:paraId="04BEA3D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（7）总结工作经验，分析问题及提出改进措施，形成1份产业知识产权运营中心建设运营工作报告。挖掘工作中好的经验做法，形成1个典型案例。</w:t>
      </w:r>
    </w:p>
    <w:p w14:paraId="17FDE079">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7E76210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前补助项目。本项目实施期自合同生效后不超过7个月，计划立项不超过1项，每项扶持金额不超过50万元。</w:t>
      </w:r>
    </w:p>
    <w:p w14:paraId="5F9A3E50">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4F6EA56F">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3B47F1B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7E1ACFD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（2）申报人符合本项目申报条件的材料。</w:t>
      </w:r>
    </w:p>
    <w:p w14:paraId="059461C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（3）开展本项目的工作方案（包括项目目标、完成项目任务的具体措施、项目进度计划、项目成果、项目实施组织形式和项目质量保证措施）。</w:t>
      </w:r>
    </w:p>
    <w:p w14:paraId="6D5493E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330BCC8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43846713">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（6）与服务机构联合申报的，需提供服务机构同意联合申报确认书，以及服务机构承担的任务分工。</w:t>
      </w:r>
    </w:p>
    <w:p w14:paraId="13777589">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eastAsia" w:eastAsia="方正仿宋_GBK"/>
          <w:sz w:val="32"/>
          <w:szCs w:val="32"/>
          <w:highlight w:val="none"/>
          <w:lang w:val="en-US" w:eastAsia="zh-CN"/>
        </w:rPr>
        <w:t>（项目联系人：廖勇，联系电话：020-83228036）</w:t>
      </w:r>
    </w:p>
    <w:p w14:paraId="2DA1AA68">
      <w:pPr>
        <w:keepNext w:val="0"/>
        <w:keepLines w:val="0"/>
        <w:pageBreakBefore w:val="0"/>
        <w:widowControl w:val="0"/>
        <w:kinsoku/>
        <w:wordWrap/>
        <w:overflowPunct/>
        <w:topLinePunct w:val="0"/>
        <w:bidi w:val="0"/>
        <w:adjustRightInd/>
        <w:snapToGrid/>
        <w:spacing w:beforeLines="0" w:afterLines="0" w:line="600" w:lineRule="exact"/>
        <w:ind w:left="0" w:leftChars="0" w:firstLine="0" w:firstLineChars="0"/>
        <w:textAlignment w:val="auto"/>
        <w:rPr>
          <w:rFonts w:hint="default" w:ascii="Times New Roman" w:hAnsi="Times New Roman" w:eastAsia="方正黑体_GBK" w:cs="Times New Roman"/>
          <w:sz w:val="32"/>
          <w:szCs w:val="32"/>
          <w:highlight w:val="none"/>
        </w:rPr>
        <w:sectPr>
          <w:headerReference r:id="rId11" w:type="first"/>
          <w:footerReference r:id="rId14" w:type="first"/>
          <w:footerReference r:id="rId12" w:type="default"/>
          <w:footerReference r:id="rId13" w:type="even"/>
          <w:pgSz w:w="11906" w:h="16838"/>
          <w:pgMar w:top="2098" w:right="1474" w:bottom="1985" w:left="1588" w:header="964" w:footer="1588" w:gutter="0"/>
          <w:pgNumType w:fmt="decimal"/>
          <w:cols w:space="720" w:num="1"/>
          <w:titlePg/>
          <w:rtlGutter w:val="0"/>
          <w:docGrid w:type="lines" w:linePitch="435" w:charSpace="-6554"/>
        </w:sectPr>
      </w:pPr>
    </w:p>
    <w:p w14:paraId="41E9EE1D">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三、</w:t>
      </w:r>
      <w:r>
        <w:rPr>
          <w:rFonts w:hint="default" w:ascii="Times New Roman" w:hAnsi="Times New Roman" w:eastAsia="方正黑体_GBK" w:cs="Times New Roman"/>
          <w:sz w:val="32"/>
          <w:szCs w:val="32"/>
          <w:highlight w:val="none"/>
        </w:rPr>
        <w:t>专利转化运用体系建设项目（广州）</w:t>
      </w:r>
    </w:p>
    <w:p w14:paraId="54ADD919">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4BB61823">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在广州市区域内的企事业单位或社会组织，包括：</w:t>
      </w:r>
    </w:p>
    <w:p w14:paraId="1F98823F">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（1）产业园区、技术创新中心、产学研基地等。</w:t>
      </w:r>
    </w:p>
    <w:p w14:paraId="20B95601">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（2）高等院校、科研机构、医疗机构、重点实验室、企业等。</w:t>
      </w:r>
    </w:p>
    <w:p w14:paraId="4EF297BC">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（3）各类技术转移转化中心或平台、知识产权服务机构、各产业领域行业组织等。</w:t>
      </w:r>
    </w:p>
    <w:p w14:paraId="4F419722">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663B256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申报人未被列入严重失信主体名单。社会组织未被列入活动异常名录；企业未被列入经营异常名录，没有进入破产清算程序。申报人具有实施申报项目必需的实施条件和专业技术能力，具有科技成果转化运用或知识产权转化运用工作经验。</w:t>
      </w:r>
    </w:p>
    <w:p w14:paraId="68169AA1">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75EB551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在广州地区开展专利转化运用体系建设工作，完成以下任务：</w:t>
      </w:r>
    </w:p>
    <w:p w14:paraId="4441C40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（1）协助推进高校院所存量专利盘活。推动30家以上（含，下同）高校院所2025年授权专利盘点率达到90%以上。</w:t>
      </w:r>
    </w:p>
    <w:p w14:paraId="0D776C28">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（2）组织开展存量专利评价。推动200家企业登录国家知识产权局专利盘活系统开展专利订阅、评价、收藏等工作，加强专利市场化评价，提升评价的精准度和专业性。</w:t>
      </w:r>
    </w:p>
    <w:p w14:paraId="27CF12F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（3）促进高校院所专利产业化率提升。推动30家以上高校院所在专利盘活系统梳理填报专利产业化数据，推动新增产业化专利50件以上。</w:t>
      </w:r>
    </w:p>
    <w:p w14:paraId="2BB134B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（4）加强技术需求收集。协助收集相关产业创新主体技术需求和技术难点，在</w:t>
      </w:r>
      <w:r>
        <w:rPr>
          <w:rFonts w:hint="eastAsia" w:ascii="Times New Roman" w:hAnsi="Times New Roman" w:eastAsia="方正仿宋_GBK" w:cs="Times New Roman"/>
          <w:b w:val="0"/>
          <w:bCs w:val="0"/>
          <w:sz w:val="32"/>
          <w:szCs w:val="32"/>
          <w:highlight w:val="none"/>
          <w:lang w:val="en-US" w:eastAsia="zh-CN"/>
        </w:rPr>
        <w:t>广州市专利转化供需信息专版</w:t>
      </w:r>
      <w:r>
        <w:rPr>
          <w:rFonts w:hint="eastAsia" w:eastAsia="方正仿宋_GBK"/>
          <w:sz w:val="32"/>
          <w:szCs w:val="32"/>
          <w:highlight w:val="none"/>
          <w:lang w:val="en-US" w:eastAsia="zh-CN"/>
        </w:rPr>
        <w:t>发布相关行业技术需求或技术难点200个以上。</w:t>
      </w:r>
    </w:p>
    <w:p w14:paraId="381EAB1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（5）帮助高校院所构建专利分级分类管理机制。推动10家以上高校院所完成专利分级分类管理，筛选具有潜在市场价值的专利，分层构建可转化专利资源库。</w:t>
      </w:r>
    </w:p>
    <w:p w14:paraId="1583E31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6）开展专利对接活动。组织开展专利转化和投融资路演、专利技术产品推介、拍卖、交易撮合等活动，加强供需双方资源和信息精准对接，提升专利产业化水平。组织开展5场以上专利转化对接活动或培训活动，每场不少于50人，每场时间不少于半天，累计路演对接专利项目不少于25个。</w:t>
      </w:r>
    </w:p>
    <w:p w14:paraId="22545BEF">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（7）协助高校、科研院所等创新主体开展专利开放许可，促成新增开放许可专利声明120件以上，达成80件次以上。</w:t>
      </w:r>
    </w:p>
    <w:p w14:paraId="6EB5CD2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（8）开展专利密集型产品备案及认定。推动企业完成专利密集型产品备案30件以上。</w:t>
      </w:r>
    </w:p>
    <w:p w14:paraId="7182D2C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（9）协助组织创新主体参加“第八届知交会”“第四届粤创赛”等知识产权转化交易方面重大活动或赛事。</w:t>
      </w:r>
    </w:p>
    <w:p w14:paraId="5CC6BCF5">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（10）总结工作经验，分析问题及提出改进措施，形成1份专利转化运用体系建设工作报告。挖掘工作中好的经验做法，形成5个典型案例。</w:t>
      </w:r>
    </w:p>
    <w:p w14:paraId="7A04C25C">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699157D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前补助项目。本项目实施期自合同生效后不超过7个月，计划立项不超过1项，每项扶持金额不超过60万元。</w:t>
      </w:r>
    </w:p>
    <w:p w14:paraId="0C5D9E1C">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731C38A2">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0FCF413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0C32593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（2）申报人符合本项目申报条件的材料。</w:t>
      </w:r>
    </w:p>
    <w:p w14:paraId="5522A579">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（3）开展本项目的工作方案（包括项目目标、完成项目任务的具体措施、项目进度计划、项目成果、项目实施组织形式和项目质量保证措施）。</w:t>
      </w:r>
    </w:p>
    <w:p w14:paraId="36B74A1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7792A89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29752C67">
      <w:pPr>
        <w:keepNext w:val="0"/>
        <w:keepLines w:val="0"/>
        <w:pageBreakBefore w:val="0"/>
        <w:widowControl w:val="0"/>
        <w:kinsoku/>
        <w:wordWrap/>
        <w:overflowPunct/>
        <w:topLinePunct w:val="0"/>
        <w:bidi w:val="0"/>
        <w:adjustRightInd/>
        <w:snapToGrid/>
        <w:spacing w:beforeLines="0" w:afterLines="0" w:line="600" w:lineRule="exact"/>
        <w:ind w:left="0" w:leftChars="0" w:firstLine="640" w:firstLineChars="200"/>
        <w:textAlignment w:val="auto"/>
        <w:rPr>
          <w:rFonts w:hint="default" w:ascii="Times New Roman" w:hAnsi="Times New Roman" w:eastAsia="方正黑体_GBK" w:cs="Times New Roman"/>
          <w:sz w:val="32"/>
          <w:szCs w:val="32"/>
          <w:highlight w:val="none"/>
        </w:rPr>
        <w:sectPr>
          <w:headerReference r:id="rId15" w:type="first"/>
          <w:footerReference r:id="rId18" w:type="first"/>
          <w:footerReference r:id="rId16" w:type="default"/>
          <w:footerReference r:id="rId17" w:type="even"/>
          <w:pgSz w:w="11906" w:h="16838"/>
          <w:pgMar w:top="2098" w:right="1474" w:bottom="1985" w:left="1588" w:header="964" w:footer="1588" w:gutter="0"/>
          <w:pgNumType w:fmt="decimal"/>
          <w:cols w:space="720" w:num="1"/>
          <w:titlePg/>
          <w:rtlGutter w:val="0"/>
          <w:docGrid w:type="lines" w:linePitch="435" w:charSpace="-6554"/>
        </w:sectPr>
      </w:pPr>
      <w:r>
        <w:rPr>
          <w:rFonts w:hint="default" w:ascii="Times New Roman" w:hAnsi="Times New Roman" w:eastAsia="方正仿宋_GBK" w:cs="Times New Roman"/>
          <w:sz w:val="32"/>
          <w:szCs w:val="32"/>
          <w:highlight w:val="none"/>
        </w:rPr>
        <w:t>（项目联系人：廖勇，联系电话：020-83228036）</w:t>
      </w:r>
    </w:p>
    <w:p w14:paraId="2A0FE5E3">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四、</w:t>
      </w:r>
      <w:r>
        <w:rPr>
          <w:rFonts w:hint="default" w:ascii="Times New Roman" w:hAnsi="Times New Roman" w:eastAsia="方正黑体_GBK" w:cs="Times New Roman"/>
          <w:sz w:val="32"/>
          <w:szCs w:val="32"/>
          <w:highlight w:val="none"/>
        </w:rPr>
        <w:t>专利密集型产品培育推广（广州）</w:t>
      </w:r>
    </w:p>
    <w:p w14:paraId="76245F4A">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7841A5A8">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在广州市区域内的知识产权领域企事业单位或社会组织。</w:t>
      </w:r>
    </w:p>
    <w:p w14:paraId="0846D0A0">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0884A43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（1）申报人未被列入严重失信主体名单。社会组织未被列入活动异常名录；企业未被列入经营异常名录，没有进入破产清算程序。</w:t>
      </w:r>
    </w:p>
    <w:p w14:paraId="26F0E5A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（2）申报人管理规范、规章制度健全，所从事的活动符合国家法律法规规定。</w:t>
      </w:r>
    </w:p>
    <w:p w14:paraId="3FBA4349">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（3）具备开展知识产权服务活动的经验。</w:t>
      </w:r>
    </w:p>
    <w:p w14:paraId="28F51ACE">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（4）具备组织、辅导创新主体开展专利密集型产品备案的经验和能力。</w:t>
      </w:r>
    </w:p>
    <w:p w14:paraId="699EE2F2">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（5）具有开展质押融资等知识产权金融服务的经验。</w:t>
      </w:r>
    </w:p>
    <w:p w14:paraId="54CCA4DD">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55822F0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（1）专利密集型产品培训工作。开展专利产品备案和专利密集型产品认定指南推广，完成不少于5场专利密集型产品培训、展示、推广活动，5场活动累计不少于300人次参加。</w:t>
      </w:r>
    </w:p>
    <w:p w14:paraId="2652DDA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（3）组织广州市创新主体开展专利产品备案。新增100家国家知识产权优势企业、国家知识产权示范企业、省知识产权示范企业、省专精特新企业完成专利密集型产品备案。</w:t>
      </w:r>
    </w:p>
    <w:p w14:paraId="0E4BAC3B">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（4）推动专利密集型产品质押融资工作。推动金融机构开展专利密集型产品的质押融资工作，并实现</w:t>
      </w:r>
      <w:r>
        <w:rPr>
          <w:rFonts w:hint="eastAsia" w:eastAsia="方正仿宋_GBK" w:cs="Times New Roman"/>
          <w:kern w:val="2"/>
          <w:sz w:val="32"/>
          <w:szCs w:val="32"/>
          <w:highlight w:val="none"/>
          <w:lang w:val="en-US" w:eastAsia="zh-CN" w:bidi="ar-SA"/>
        </w:rPr>
        <w:t>全年专利密集型产品质押融资金额不少于6亿元或达成不少于30笔专利密集型产品质押融资</w:t>
      </w:r>
      <w:r>
        <w:rPr>
          <w:rFonts w:hint="eastAsia" w:eastAsia="方正仿宋_GBK"/>
          <w:sz w:val="32"/>
          <w:szCs w:val="32"/>
          <w:highlight w:val="none"/>
          <w:lang w:val="en-US" w:eastAsia="zh-CN"/>
        </w:rPr>
        <w:t>。</w:t>
      </w:r>
    </w:p>
    <w:p w14:paraId="37FC79C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（4）收集专利密集型产品培育和推广典型经验和做法，挖掘典型案例不少于2个。</w:t>
      </w:r>
    </w:p>
    <w:p w14:paraId="2F4C232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（5）案例收集经验整理。收集我市专利密集型产品信息，发动创新主体参加有关专利密集型产品展览展示活动。</w:t>
      </w:r>
    </w:p>
    <w:p w14:paraId="29800AC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（6）专利开放许可推动。推动已认定专利密集型产品涉及的2件以上专利通过开放许可等方式进行转化运用。</w:t>
      </w:r>
    </w:p>
    <w:p w14:paraId="77BB7DE8">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6F8D94E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前补助项目。本项目实施期自合同生效后不超过7个月，计划立项不超过1项，每项扶持金额不超过50万元。</w:t>
      </w:r>
    </w:p>
    <w:p w14:paraId="4A243484">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48CB6A25">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04CA629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72608C1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（2）证明申报人符合本项目申报条件的材料。</w:t>
      </w:r>
    </w:p>
    <w:p w14:paraId="02F072F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（3）开展本项目的工作方案（包括项目目标、完成项目任务的具体措施、项目进度计划、项目成果、项目实施组织形式和项目质量保证措施）。</w:t>
      </w:r>
    </w:p>
    <w:p w14:paraId="6E38C3B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1D12029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7EAAA39E">
      <w:pPr>
        <w:pStyle w:val="15"/>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eastAsia="zh-CN"/>
        </w:rPr>
        <w:t>（</w:t>
      </w:r>
      <w:r>
        <w:rPr>
          <w:rFonts w:hint="eastAsia" w:eastAsia="方正仿宋_GBK" w:cs="Times New Roman"/>
          <w:sz w:val="32"/>
          <w:szCs w:val="32"/>
          <w:highlight w:val="none"/>
          <w:lang w:val="en-US" w:eastAsia="zh-CN"/>
        </w:rPr>
        <w:t>6</w:t>
      </w:r>
      <w:r>
        <w:rPr>
          <w:rFonts w:hint="eastAsia" w:eastAsia="方正仿宋_GBK" w:cs="Times New Roman"/>
          <w:sz w:val="32"/>
          <w:szCs w:val="32"/>
          <w:highlight w:val="none"/>
          <w:lang w:eastAsia="zh-CN"/>
        </w:rPr>
        <w:t>）</w:t>
      </w:r>
      <w:r>
        <w:rPr>
          <w:rFonts w:hint="eastAsia" w:eastAsia="方正仿宋_GBK"/>
          <w:sz w:val="32"/>
          <w:szCs w:val="32"/>
          <w:highlight w:val="none"/>
          <w:lang w:val="en-US" w:eastAsia="zh-CN"/>
        </w:rPr>
        <w:t>获得国家级、省级或广州市级知识产权信息公共服务网点备案认定的单位的材料。</w:t>
      </w:r>
    </w:p>
    <w:p w14:paraId="0A887E49">
      <w:pPr>
        <w:pStyle w:val="15"/>
        <w:spacing w:beforeLines="0" w:afterLines="0" w:line="600" w:lineRule="exact"/>
        <w:ind w:firstLine="640" w:firstLineChars="200"/>
        <w:rPr>
          <w:rFonts w:hint="default" w:ascii="Times New Roman" w:hAnsi="Times New Roman" w:eastAsia="方正黑体_GBK" w:cs="Times New Roman"/>
          <w:sz w:val="32"/>
          <w:szCs w:val="32"/>
          <w:highlight w:val="none"/>
        </w:rPr>
        <w:sectPr>
          <w:headerReference r:id="rId19" w:type="first"/>
          <w:footerReference r:id="rId22" w:type="first"/>
          <w:footerReference r:id="rId20" w:type="default"/>
          <w:footerReference r:id="rId21" w:type="even"/>
          <w:pgSz w:w="11906" w:h="16838"/>
          <w:pgMar w:top="2098" w:right="1474" w:bottom="1985" w:left="1588" w:header="964" w:footer="1588" w:gutter="0"/>
          <w:pgNumType w:fmt="decimal"/>
          <w:cols w:space="720" w:num="1"/>
          <w:titlePg/>
          <w:rtlGutter w:val="0"/>
          <w:docGrid w:type="lines" w:linePitch="435" w:charSpace="-6554"/>
        </w:sectPr>
      </w:pPr>
      <w:r>
        <w:rPr>
          <w:rFonts w:hint="default" w:ascii="Times New Roman" w:hAnsi="Times New Roman" w:eastAsia="方正仿宋_GBK" w:cs="Times New Roman"/>
          <w:sz w:val="32"/>
          <w:szCs w:val="32"/>
          <w:highlight w:val="none"/>
        </w:rPr>
        <w:t>（项目联系人：</w:t>
      </w:r>
      <w:r>
        <w:rPr>
          <w:rFonts w:hint="eastAsia" w:eastAsia="方正仿宋_GBK" w:cs="Times New Roman"/>
          <w:sz w:val="32"/>
          <w:szCs w:val="32"/>
          <w:highlight w:val="none"/>
          <w:lang w:eastAsia="zh-CN"/>
        </w:rPr>
        <w:t>徐炜</w:t>
      </w:r>
      <w:r>
        <w:rPr>
          <w:rFonts w:hint="default"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020-</w:t>
      </w:r>
      <w:r>
        <w:rPr>
          <w:rFonts w:hint="eastAsia" w:eastAsia="方正仿宋_GBK" w:cs="Times New Roman"/>
          <w:sz w:val="32"/>
          <w:szCs w:val="32"/>
          <w:highlight w:val="none"/>
          <w:lang w:val="en-US" w:eastAsia="zh-CN"/>
        </w:rPr>
        <w:t>83228328</w:t>
      </w:r>
      <w:r>
        <w:rPr>
          <w:rFonts w:hint="default" w:ascii="Times New Roman" w:hAnsi="Times New Roman" w:eastAsia="方正仿宋_GBK" w:cs="Times New Roman"/>
          <w:sz w:val="32"/>
          <w:szCs w:val="32"/>
          <w:highlight w:val="none"/>
        </w:rPr>
        <w:t>）</w:t>
      </w:r>
    </w:p>
    <w:p w14:paraId="000BA550">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五、</w:t>
      </w:r>
      <w:r>
        <w:rPr>
          <w:rFonts w:hint="default" w:ascii="Times New Roman" w:hAnsi="Times New Roman" w:eastAsia="方正黑体_GBK" w:cs="Times New Roman"/>
          <w:sz w:val="32"/>
          <w:szCs w:val="32"/>
          <w:highlight w:val="none"/>
        </w:rPr>
        <w:t>专利转化运用人才培养体系建设（广州）</w:t>
      </w:r>
    </w:p>
    <w:p w14:paraId="226B1F77">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42563440">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在广州市区域内的知识产权领域企事业单位或社会组织。</w:t>
      </w:r>
    </w:p>
    <w:p w14:paraId="39624048">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03B7C6EF">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（1）申报人未被列入严重失信主体名单。社会组织未被列入活动异常名录；企业未被列入经营异常名录，没有进入破产清算程序。</w:t>
      </w:r>
    </w:p>
    <w:p w14:paraId="2417EC8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（2）申报人管理规范、规章制度健全，所从事的活动符合国家法律法规规定。</w:t>
      </w:r>
    </w:p>
    <w:p w14:paraId="0E734F0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（3）具备组织知识产权培训、会议的经验。</w:t>
      </w:r>
    </w:p>
    <w:p w14:paraId="7165BF9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（4）具备建立知识产权相关人才库的经验。</w:t>
      </w:r>
    </w:p>
    <w:p w14:paraId="4F6CCA2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（5）具备组织创新主体参加知识产权活动的服务资源和能力。</w:t>
      </w:r>
    </w:p>
    <w:p w14:paraId="6B75939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（6）申报人为国家级、省级、市级知识产权信息公共服务网点的，在同等条件下优先。</w:t>
      </w:r>
    </w:p>
    <w:p w14:paraId="7D16A0FA">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3880B4C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承办专利转化运用技术经理人培训班。在广州市组织1期初级专利转化运用技术经理人培训班（培训时长不少于3天（24课时），参训学员不少于50人）。课程设置须严格遵循《广东省专利转化运用技术经理人培训指南（试行）》要求，涵盖公共知识、政策法规、实务技能等模块。确保学员掌握知识产权基础概念、申请维护流程及技术转移基本模式，熟悉国家及地方知识产权相关政策法规，能运用专利文献检索辅助需求分析，完成技术需求收集与简单供需对接，识别基础知识产权风险，具备开展初级专利转化运用服务的知识素养和基础服务能力。培训结束后，组织统一的闭卷考试。对考核合格的学员发放广东省初级专利转化运用技术经理人结业证。</w:t>
      </w:r>
    </w:p>
    <w:p w14:paraId="5C7258C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建立专利转化运用服务对象库和经理人库。制定规范的专利转化运用服务需求征集流程，面向创新主体征集专利转化运用服务需求，据此建立细分领域的专利转化运用服务对象库，入库企业不少于200家。建立专利转化运用经理人库1个，入库专利转化运用经理人数不少于60人。</w:t>
      </w:r>
    </w:p>
    <w:p w14:paraId="14EB2AD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组织开展服务。建立专利转化运用服务对象库和经理人库的有效对接机制，统筹安排50名以上专利转化运用技术经理人与我市创新主体，按照“一对一”“一对多”“多对一”等方式建立服务对接机制，协助创新主体开展专利转让、许可、专利密集型产品备案认定工作。</w:t>
      </w:r>
    </w:p>
    <w:p w14:paraId="0B42BEC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服务情况记录并协助构建专利转化运用经理人评价工作。为参与服务的专利转化运用技术经理人建立完整的服务档案，详细记录其服务过程、对接成效及创新主体反馈。基于服务记录，探索并初步形成一套科学、可行的专利转化运用技术经理人服务能力评价机制与标准。</w:t>
      </w:r>
    </w:p>
    <w:p w14:paraId="4142F2E5">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106AB48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前补助项目。本项目实施期自合同生效后不超过7个月，计划立项不超过1项，每项扶持金额不超过30万元。</w:t>
      </w:r>
    </w:p>
    <w:p w14:paraId="153C8615">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74366AA0">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4BEFA2A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04764A2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（2）申报人符合本项目申报条件的材料。</w:t>
      </w:r>
    </w:p>
    <w:p w14:paraId="7D5FC76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（3）开展本项目的工作方案（包括项目目标、完成项目任务的具体措施、项目进度计划、项目成果、项目实施组织形式和项目质量保证措施）。</w:t>
      </w:r>
    </w:p>
    <w:p w14:paraId="491AA8A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6953F088">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10D05A6F">
      <w:pPr>
        <w:pStyle w:val="15"/>
        <w:spacing w:beforeLines="0" w:afterLines="0" w:line="600" w:lineRule="exact"/>
        <w:ind w:firstLine="640" w:firstLineChars="200"/>
        <w:rPr>
          <w:rFonts w:hint="eastAsia" w:eastAsia="方正仿宋_GBK"/>
          <w:b/>
          <w:bCs/>
          <w:sz w:val="32"/>
          <w:szCs w:val="32"/>
          <w:highlight w:val="none"/>
        </w:rPr>
      </w:pPr>
      <w:r>
        <w:rPr>
          <w:rFonts w:hint="default" w:ascii="Times New Roman" w:hAnsi="Times New Roman" w:eastAsia="方正仿宋_GBK" w:cs="Times New Roman"/>
          <w:sz w:val="32"/>
          <w:szCs w:val="32"/>
          <w:highlight w:val="none"/>
        </w:rPr>
        <w:t>（项目联系人：</w:t>
      </w:r>
      <w:r>
        <w:rPr>
          <w:rFonts w:hint="eastAsia" w:eastAsia="方正仿宋_GBK" w:cs="Times New Roman"/>
          <w:sz w:val="32"/>
          <w:szCs w:val="32"/>
          <w:highlight w:val="none"/>
          <w:lang w:eastAsia="zh-CN"/>
        </w:rPr>
        <w:t>徐炜</w:t>
      </w:r>
      <w:r>
        <w:rPr>
          <w:rFonts w:hint="default"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020-</w:t>
      </w:r>
      <w:r>
        <w:rPr>
          <w:rFonts w:hint="eastAsia" w:eastAsia="方正仿宋_GBK" w:cs="Times New Roman"/>
          <w:sz w:val="32"/>
          <w:szCs w:val="32"/>
          <w:highlight w:val="none"/>
          <w:lang w:val="en-US" w:eastAsia="zh-CN"/>
        </w:rPr>
        <w:t>83228328</w:t>
      </w:r>
      <w:r>
        <w:rPr>
          <w:rFonts w:hint="default" w:ascii="Times New Roman" w:hAnsi="Times New Roman" w:eastAsia="方正仿宋_GBK" w:cs="Times New Roman"/>
          <w:sz w:val="32"/>
          <w:szCs w:val="32"/>
          <w:highlight w:val="none"/>
        </w:rPr>
        <w:t>）</w:t>
      </w:r>
    </w:p>
    <w:p w14:paraId="4AF42A2B">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p>
    <w:p w14:paraId="5AF4A7C4">
      <w:pPr>
        <w:keepNext w:val="0"/>
        <w:keepLines w:val="0"/>
        <w:pageBreakBefore w:val="0"/>
        <w:widowControl w:val="0"/>
        <w:kinsoku/>
        <w:wordWrap/>
        <w:overflowPunct/>
        <w:topLinePunct w:val="0"/>
        <w:bidi w:val="0"/>
        <w:adjustRightInd/>
        <w:snapToGrid/>
        <w:spacing w:beforeLines="0" w:afterLines="0" w:line="600" w:lineRule="exact"/>
        <w:ind w:left="0" w:leftChars="0" w:firstLine="0" w:firstLineChars="0"/>
        <w:textAlignment w:val="auto"/>
        <w:rPr>
          <w:rFonts w:hint="default" w:ascii="Times New Roman" w:hAnsi="Times New Roman" w:eastAsia="方正黑体_GBK" w:cs="Times New Roman"/>
          <w:sz w:val="32"/>
          <w:szCs w:val="32"/>
          <w:highlight w:val="none"/>
        </w:rPr>
        <w:sectPr>
          <w:headerReference r:id="rId23" w:type="first"/>
          <w:footerReference r:id="rId26" w:type="first"/>
          <w:footerReference r:id="rId24" w:type="default"/>
          <w:footerReference r:id="rId25" w:type="even"/>
          <w:pgSz w:w="11906" w:h="16838"/>
          <w:pgMar w:top="2098" w:right="1474" w:bottom="1985" w:left="1588" w:header="964" w:footer="1588" w:gutter="0"/>
          <w:pgNumType w:fmt="decimal"/>
          <w:cols w:space="720" w:num="1"/>
          <w:titlePg/>
          <w:rtlGutter w:val="0"/>
          <w:docGrid w:type="lines" w:linePitch="435" w:charSpace="-6554"/>
        </w:sectPr>
      </w:pPr>
    </w:p>
    <w:p w14:paraId="27CA3239">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六、</w:t>
      </w:r>
      <w:r>
        <w:rPr>
          <w:rFonts w:hint="default" w:ascii="Times New Roman" w:hAnsi="Times New Roman" w:eastAsia="方正黑体_GBK" w:cs="Times New Roman"/>
          <w:sz w:val="32"/>
          <w:szCs w:val="32"/>
          <w:highlight w:val="none"/>
        </w:rPr>
        <w:t>国家知识产权金融生态示范区培育及广东省数据知识产权运用（广州）</w:t>
      </w:r>
    </w:p>
    <w:p w14:paraId="2DDD0E67">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482CC0C8">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在广州市从事经营活动的企事业单位、知识产权服务机构或社会团体组织。</w:t>
      </w:r>
    </w:p>
    <w:p w14:paraId="5D4006E4">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53BB3C1E">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（1）申报人须具备开展金融服务相关资质；</w:t>
      </w:r>
    </w:p>
    <w:p w14:paraId="61965AB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（2）申报人拥有专业服务团队。项目负责人须具备中级以上知识产权相关职称，项目团队须具备5人及以上金融服务相关从业资格证书或职称等资质专业人员；</w:t>
      </w:r>
    </w:p>
    <w:p w14:paraId="5022E169">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（3）申报人须与5家以上金融机构建立业务合作关系，拥有一定的合作基础。</w:t>
      </w:r>
    </w:p>
    <w:p w14:paraId="11F30279">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（4）申报人须具备5年及以上知识产权金融相关项目经验。</w:t>
      </w:r>
    </w:p>
    <w:p w14:paraId="46145BEF">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0265CC3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（1）协助组织开展金融机构与创新主体对接活动，组织知识产权质押融资培训、数据知识产权交易运营培训等活动。开展不少于5场知识产权金融机构与创新主体对接活动或知识产权金融培训，每场不少于50人；</w:t>
      </w:r>
    </w:p>
    <w:p w14:paraId="0049AFDB">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（2）协助做好知识产权质押融资提质增量工作，完成不少于80笔知识产权质押融资项目；</w:t>
      </w:r>
    </w:p>
    <w:p w14:paraId="01C3C71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（3）协助发行知识产权保险或证券化产品各不少于1单；</w:t>
      </w:r>
    </w:p>
    <w:p w14:paraId="11CA487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（4）协助开展数据知识产权交易运营工作。协助金融机构开发数据知识产权交易运营产品，为创新主体提供数据知识产权交易运营服务；完成不少于8单数据知识产权交易项目；</w:t>
      </w:r>
    </w:p>
    <w:p w14:paraId="3F79389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（5）发布至少1例知识产权金融创新案例。</w:t>
      </w:r>
    </w:p>
    <w:p w14:paraId="42A89AE8">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01F22EA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前补助项目。本项目实施期自合同生效后不超过7个月，计划立项不超过1项，每项扶持金额不超过50万元。</w:t>
      </w:r>
    </w:p>
    <w:p w14:paraId="335E9E01">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36CC239F">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767CD5D9">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29870816">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（2）申报人符合本项目申报条件的材料。申报人开展本项目的专业能力及业绩成果材料。</w:t>
      </w:r>
    </w:p>
    <w:p w14:paraId="605E0F7A">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（3）开展本项目的详细工作方案（包括项目目标、完成项目任务的具体措施、项目进度计划、项目成果、项目实施组织形式和项目质量保证措施）。</w:t>
      </w:r>
    </w:p>
    <w:p w14:paraId="5780DF99">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1745BA73">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19C3C67F">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eastAsia" w:eastAsia="方正仿宋_GBK"/>
          <w:sz w:val="32"/>
          <w:szCs w:val="32"/>
          <w:highlight w:val="none"/>
          <w:lang w:val="en-US" w:eastAsia="zh-CN"/>
        </w:rPr>
        <w:t>（项目联系人：张业文，联系电话：020-83228273）</w:t>
      </w:r>
    </w:p>
    <w:p w14:paraId="403E47EB">
      <w:pPr>
        <w:keepNext w:val="0"/>
        <w:keepLines w:val="0"/>
        <w:pageBreakBefore w:val="0"/>
        <w:widowControl w:val="0"/>
        <w:kinsoku/>
        <w:wordWrap/>
        <w:overflowPunct/>
        <w:topLinePunct w:val="0"/>
        <w:bidi w:val="0"/>
        <w:adjustRightInd/>
        <w:snapToGrid/>
        <w:spacing w:beforeLines="0" w:afterLines="0" w:line="600" w:lineRule="exact"/>
        <w:ind w:left="0" w:leftChars="0" w:firstLine="0" w:firstLineChars="0"/>
        <w:textAlignment w:val="auto"/>
        <w:rPr>
          <w:rFonts w:hint="default" w:ascii="Times New Roman" w:hAnsi="Times New Roman" w:eastAsia="方正黑体_GBK" w:cs="Times New Roman"/>
          <w:sz w:val="32"/>
          <w:szCs w:val="32"/>
          <w:highlight w:val="none"/>
        </w:rPr>
        <w:sectPr>
          <w:headerReference r:id="rId27" w:type="first"/>
          <w:footerReference r:id="rId30" w:type="first"/>
          <w:footerReference r:id="rId28" w:type="default"/>
          <w:footerReference r:id="rId29" w:type="even"/>
          <w:pgSz w:w="11906" w:h="16838"/>
          <w:pgMar w:top="2098" w:right="1474" w:bottom="1985" w:left="1588" w:header="964" w:footer="1588" w:gutter="0"/>
          <w:pgNumType w:fmt="decimal"/>
          <w:cols w:space="720" w:num="1"/>
          <w:titlePg/>
          <w:rtlGutter w:val="0"/>
          <w:docGrid w:type="lines" w:linePitch="435" w:charSpace="-6554"/>
        </w:sectPr>
      </w:pPr>
    </w:p>
    <w:p w14:paraId="28A2FE9B">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七、</w:t>
      </w:r>
      <w:r>
        <w:rPr>
          <w:rFonts w:hint="default" w:ascii="Times New Roman" w:hAnsi="Times New Roman" w:eastAsia="方正黑体_GBK" w:cs="Times New Roman"/>
          <w:sz w:val="32"/>
          <w:szCs w:val="32"/>
          <w:highlight w:val="none"/>
        </w:rPr>
        <w:t>广东省知识产权公共服务支撑关键技术试点（广州专利专项服务项目）</w:t>
      </w:r>
    </w:p>
    <w:p w14:paraId="303FBD24">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0471FF8C">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在广州市从事经营活动的企事业单位、高校、科研机构、知识产权服务机构。</w:t>
      </w:r>
    </w:p>
    <w:p w14:paraId="0384C204">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6D856F4B">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（1）申报人属于开展知识产权服务的企事业单位、高校、科研机构、知识产权服务机构，经营状态正常，无违法失信记录。</w:t>
      </w:r>
    </w:p>
    <w:p w14:paraId="5E8D530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（2）申报人管理规范、具有健全的财务管理制度和独立的银行账户，能够做到专款专用。</w:t>
      </w:r>
    </w:p>
    <w:p w14:paraId="53DCB1A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（3）项目团队具有较强的专利检索和分析技能，项目负责人为正高级知识产权师，项目团队具有不少于3名高级知识产权师。</w:t>
      </w:r>
    </w:p>
    <w:p w14:paraId="73DD501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（4）具备不少于三家企业进行关键技术攻关的经验。</w:t>
      </w:r>
    </w:p>
    <w:p w14:paraId="5067724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（5）具备开展高价值专利培育、专利预警、侵权分析的能力。</w:t>
      </w:r>
    </w:p>
    <w:p w14:paraId="5EE359DA">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2B67A36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（1）完成1项产业专利导航服务，形成1份产业专利导航报告；</w:t>
      </w:r>
    </w:p>
    <w:p w14:paraId="2959C5F8">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组织2次以上培训，提供至少4次专利专项服务，服务形式包括但不限于：培训、检索、高价值专利培育、专利预警、侵权分析等企业需要的其他形式的专利服务，同时形成4份专项服务报告，1份企业专利现状分析报告。</w:t>
      </w:r>
    </w:p>
    <w:p w14:paraId="56E88D87">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为期2个月的企业跟踪服务，解读相关报告，并根据企业建议修改报告，为企业提供2次报告跟踪服务，服务内容包括但不限于修改报告、进一步的解读报告、高价值专利培育、培训、技术挖掘、检索、侵权预警等企业需要的其他形式的跟踪服务。</w:t>
      </w:r>
    </w:p>
    <w:p w14:paraId="38820FB3">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74FDF20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前补助项目。本项目实施期自合同生效后不超过7个月，计划立项不超过1项，每项扶持金额不超过20万元。</w:t>
      </w:r>
    </w:p>
    <w:p w14:paraId="28D0B6C2">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7140E2D6">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24EFB350">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45267A41">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（2）获得国家级、省级或广州市级知识产权信息公共服务网点备案认定的单位的材料。</w:t>
      </w:r>
    </w:p>
    <w:p w14:paraId="5F2710CA">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（3）开展本项目的工作方案、计划书。</w:t>
      </w:r>
    </w:p>
    <w:p w14:paraId="4FF06A7C">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113A40AE">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408CEDCA">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eastAsia" w:eastAsia="方正仿宋_GBK"/>
          <w:sz w:val="32"/>
          <w:szCs w:val="32"/>
          <w:highlight w:val="none"/>
          <w:lang w:val="en-US" w:eastAsia="zh-CN"/>
        </w:rPr>
        <w:t>（项目联系人：陈韬，联系电话：020-83228313）</w:t>
      </w:r>
    </w:p>
    <w:p w14:paraId="1D62C711">
      <w:pPr>
        <w:keepNext w:val="0"/>
        <w:keepLines w:val="0"/>
        <w:pageBreakBefore w:val="0"/>
        <w:widowControl w:val="0"/>
        <w:kinsoku/>
        <w:wordWrap/>
        <w:overflowPunct/>
        <w:topLinePunct w:val="0"/>
        <w:bidi w:val="0"/>
        <w:adjustRightInd/>
        <w:snapToGrid/>
        <w:spacing w:beforeLines="0" w:afterLines="0" w:line="600" w:lineRule="exact"/>
        <w:ind w:left="0" w:leftChars="0" w:firstLine="0" w:firstLineChars="0"/>
        <w:textAlignment w:val="auto"/>
        <w:rPr>
          <w:rFonts w:hint="default" w:ascii="Times New Roman" w:hAnsi="Times New Roman" w:eastAsia="方正黑体_GBK" w:cs="Times New Roman"/>
          <w:sz w:val="32"/>
          <w:szCs w:val="32"/>
          <w:highlight w:val="none"/>
        </w:rPr>
        <w:sectPr>
          <w:headerReference r:id="rId31" w:type="first"/>
          <w:footerReference r:id="rId34" w:type="first"/>
          <w:footerReference r:id="rId32" w:type="default"/>
          <w:footerReference r:id="rId33" w:type="even"/>
          <w:pgSz w:w="11906" w:h="16838"/>
          <w:pgMar w:top="2098" w:right="1474" w:bottom="1985" w:left="1588" w:header="964" w:footer="1588" w:gutter="0"/>
          <w:pgNumType w:fmt="decimal"/>
          <w:cols w:space="720" w:num="1"/>
          <w:titlePg/>
          <w:rtlGutter w:val="0"/>
          <w:docGrid w:type="lines" w:linePitch="435" w:charSpace="-6554"/>
        </w:sectPr>
      </w:pPr>
    </w:p>
    <w:p w14:paraId="24FF93BF">
      <w:pPr>
        <w:spacing w:beforeLines="0" w:afterLines="0" w:line="600" w:lineRule="exact"/>
        <w:ind w:firstLine="640" w:firstLineChars="200"/>
        <w:rPr>
          <w:rFonts w:ascii="Times New Roman" w:hAnsi="Times New Roman" w:eastAsia="方正黑体_GBK"/>
          <w:sz w:val="32"/>
          <w:szCs w:val="32"/>
          <w:highlight w:val="none"/>
        </w:rPr>
      </w:pPr>
      <w:r>
        <w:rPr>
          <w:rFonts w:hint="eastAsia" w:eastAsia="方正黑体_GBK"/>
          <w:sz w:val="32"/>
          <w:szCs w:val="32"/>
          <w:highlight w:val="none"/>
          <w:lang w:val="en-US" w:eastAsia="zh-CN"/>
        </w:rPr>
        <w:t>八、</w:t>
      </w:r>
      <w:r>
        <w:rPr>
          <w:rFonts w:hint="default" w:ascii="Times New Roman" w:hAnsi="Times New Roman" w:eastAsia="方正黑体_GBK" w:cs="Times New Roman"/>
          <w:sz w:val="32"/>
          <w:szCs w:val="32"/>
          <w:highlight w:val="none"/>
        </w:rPr>
        <w:t>广东省知识产权信息公共服务网络建设（广州服务效能提升服务项目）</w:t>
      </w:r>
    </w:p>
    <w:p w14:paraId="37F44171">
      <w:pPr>
        <w:pStyle w:val="15"/>
        <w:spacing w:beforeLines="0" w:afterLines="0" w:line="600" w:lineRule="exact"/>
        <w:ind w:firstLine="643" w:firstLineChars="200"/>
        <w:rPr>
          <w:rFonts w:hint="eastAsia" w:eastAsia="方正仿宋_GBK"/>
          <w:b/>
          <w:bCs/>
          <w:sz w:val="32"/>
          <w:szCs w:val="32"/>
          <w:highlight w:val="none"/>
          <w:lang w:eastAsia="zh-CN"/>
        </w:rPr>
      </w:pPr>
      <w:r>
        <w:rPr>
          <w:rFonts w:hint="eastAsia" w:eastAsia="方正仿宋_GBK"/>
          <w:b/>
          <w:bCs/>
          <w:sz w:val="32"/>
          <w:szCs w:val="32"/>
          <w:highlight w:val="none"/>
        </w:rPr>
        <w:t>1.</w:t>
      </w:r>
      <w:r>
        <w:rPr>
          <w:rFonts w:hint="eastAsia" w:eastAsia="方正仿宋_GBK"/>
          <w:b/>
          <w:bCs/>
          <w:sz w:val="32"/>
          <w:szCs w:val="32"/>
          <w:highlight w:val="none"/>
          <w:lang w:eastAsia="zh-CN"/>
        </w:rPr>
        <w:t>申报人</w:t>
      </w:r>
    </w:p>
    <w:p w14:paraId="54AF4DA3">
      <w:pPr>
        <w:pStyle w:val="15"/>
        <w:spacing w:beforeLines="0" w:afterLines="0" w:line="60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在广州市从事经营活动的企业、高校、科研院所、知识产权服务机构。</w:t>
      </w:r>
    </w:p>
    <w:p w14:paraId="39593628">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2.申报条件</w:t>
      </w:r>
    </w:p>
    <w:p w14:paraId="5FDEAD39">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（1）熟悉知识产权公共服务领域各项政策和广州市知识产权公共服务体系建设发展情况，具备知识产权公共服务信息采集、整理和分析等能力，有信息化系统建设和管理能力。</w:t>
      </w:r>
    </w:p>
    <w:p w14:paraId="24E445E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（2）具备组织知识产权信息公共服务网点备案、评价及制</w:t>
      </w:r>
      <w:bookmarkStart w:id="0" w:name="_GoBack"/>
      <w:bookmarkEnd w:id="0"/>
      <w:r>
        <w:rPr>
          <w:rFonts w:hint="eastAsia" w:eastAsia="方正仿宋_GBK"/>
          <w:sz w:val="32"/>
          <w:szCs w:val="32"/>
          <w:highlight w:val="none"/>
          <w:lang w:val="en-US" w:eastAsia="zh-CN"/>
        </w:rPr>
        <w:t>定知识产权信息公共服务体系建设实施方案相关的工作能力，熟悉知识产权公共服务领域调查研究分析方法，有较好的研究基础、研究成果和服务案例。</w:t>
      </w:r>
    </w:p>
    <w:p w14:paraId="4C02E903">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（3）具有丰富的知识产权信息资源、数据库、国内外文献资源和信息检索工具、专利信息分析工具等支撑开展知识产权信息公共服务的工具和数据资源。</w:t>
      </w:r>
    </w:p>
    <w:p w14:paraId="4DF11C5C">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（4）已获得国家级、省级、市级知识产权信息公共服务网点备案或具备同等资质，承担过相同或相类似研究工作。</w:t>
      </w:r>
    </w:p>
    <w:p w14:paraId="25401844">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（5）项目团队的人员配置与项目的内容和要求相适应，项目负责人须具有较强的组织协调能力、分析及解决问题的能力，保证项目全过程担负实质性工作。</w:t>
      </w:r>
    </w:p>
    <w:p w14:paraId="4DD49FF1">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3.项目任务</w:t>
      </w:r>
    </w:p>
    <w:p w14:paraId="04D116B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1）围绕支撑科技创新的知识产权创造、运用、保护、管理和服务全链条，通过线上、线下相结合方式，多渠道精准挖掘各类创新主体的知识产权公共服务需求，提升各级各类知识产权公共服务机构专业能力，组织区域内知识产权公共服务机构精准服务1700家以上企业，形成1份知识产权公共服务供需对接清单；</w:t>
      </w:r>
    </w:p>
    <w:p w14:paraId="377A83A5">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2）围绕推进知识产权公共服务标准化、规范化、便利化、精准化，持续推进知识产权公共服务标准化城市建设，探索原创性、创新型举措，提升广州市知识产权公共服务效能。开展标准化工作全流程支撑服务，推动知识产权公共服务标准化城市建设任务实施和经验总结。定期收集知识产权信息公共服务网点的工作开展情况，调研分析知识产权公共服务发展现状，完成1份知识产权公共服务分析调研报告；</w:t>
      </w:r>
    </w:p>
    <w:p w14:paraId="0B538F5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3）积极分享国家级、省级公共服务网点的建设、运营和实践经验，强化知识产权信息公共服务指导，引导和支持各类知识产权信息服务机构积极申报认定、备案为市级、省级、国家级知识产权信息公共服务网点。</w:t>
      </w:r>
    </w:p>
    <w:p w14:paraId="651BD00E">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（4）协同、联动至少3家国家级、省级网点开展“知识产权赋能产业发展”活动，面向广州市至少3个产业提供知识产权信息检索、专利导航、知识产权运营、知识产权情报等公共服务。</w:t>
      </w:r>
    </w:p>
    <w:p w14:paraId="61AB7630">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5）示范带动广州市国家级、省级、市级知识产权信息公共服务网点（超过50家）的建设运行，提升网点服务效能，开展普惠服务、低成本服务和增值服务。协助开展知识产权信息公共服务网点的认定及评估工作，推进广州市知识产权信息公共服务网点建设，完善相关措施及规范，合理评估网点开展公共服务的情况和效果，提升知识产权信息公共服务效益；</w:t>
      </w:r>
    </w:p>
    <w:p w14:paraId="7A8A0C0D">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6）宣传推广知识产权公共服务网络和服务平台，支持“广州市知识产权公共服务平台”涉及各个节点网点服务资源的归集和发布，总结知识产权信息公共服务网点优秀实践经验，项目实施期内，组织评选和总结3件以上公共服务优秀案例，并进行宣传推广；</w:t>
      </w:r>
    </w:p>
    <w:p w14:paraId="7ED3F311">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7）建立知识产权公共服务节点网点沟通协调和组织管理机制，对接各级公共服务节点网点，推进知识产权信息公共服务交流、服务协作、服务资源和成果共享。项目实施期内，组织知识产权公共服务网点线下培训或交流活动2场以上，每场邀请不少于20家广州市级以上网点单位参与，每场参与人数不少于30人；</w:t>
      </w:r>
    </w:p>
    <w:p w14:paraId="7CA4606A">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（8）发布1份知识产权公共服务需求清单；</w:t>
      </w:r>
    </w:p>
    <w:p w14:paraId="7BAA5C7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（9）发布1份知识产权公共服务机构解决方案清单。</w:t>
      </w:r>
    </w:p>
    <w:p w14:paraId="263F6674">
      <w:pPr>
        <w:pStyle w:val="15"/>
        <w:spacing w:beforeLines="0" w:afterLines="0" w:line="600" w:lineRule="exact"/>
        <w:ind w:firstLine="643" w:firstLineChars="200"/>
        <w:rPr>
          <w:rFonts w:hint="eastAsia" w:eastAsia="方正仿宋_GBK"/>
          <w:b/>
          <w:bCs/>
          <w:sz w:val="32"/>
          <w:szCs w:val="32"/>
          <w:highlight w:val="none"/>
        </w:rPr>
      </w:pPr>
      <w:r>
        <w:rPr>
          <w:rFonts w:hint="eastAsia" w:eastAsia="方正仿宋_GBK"/>
          <w:b/>
          <w:bCs/>
          <w:sz w:val="32"/>
          <w:szCs w:val="32"/>
          <w:highlight w:val="none"/>
        </w:rPr>
        <w:t>4.项目补助形式、数量和经费安排</w:t>
      </w:r>
    </w:p>
    <w:p w14:paraId="78A07836">
      <w:pPr>
        <w:pStyle w:val="15"/>
        <w:spacing w:beforeLines="0" w:afterLines="0" w:line="60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lang w:val="en-US" w:eastAsia="zh-CN"/>
        </w:rPr>
        <w:t>前补助项目。本项目实施期自合同生效后不超过7个月，计划立项不超过1项，每项扶持金额不超过85万元。</w:t>
      </w:r>
    </w:p>
    <w:p w14:paraId="1201393E">
      <w:pPr>
        <w:pStyle w:val="15"/>
        <w:spacing w:beforeLines="0" w:afterLines="0" w:line="60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5.申报材料</w:t>
      </w:r>
    </w:p>
    <w:p w14:paraId="7BAD98AD">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本项目申报材料除有特别要求外，统一提供原件的彩色PDF格式扫描件。</w:t>
      </w:r>
    </w:p>
    <w:p w14:paraId="5B19E0B1">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（1）广州市知识产权项目申报书（盖章）。</w:t>
      </w:r>
    </w:p>
    <w:p w14:paraId="38988D8C">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（2）申报人开展本项目的专业能力及业绩成果材料，人才资质、单位荣誉、服务资源等材料，承担过相同或相类似项目的工作情况。</w:t>
      </w:r>
    </w:p>
    <w:p w14:paraId="6C223AB3">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（3）开展本项目的工作方案。</w:t>
      </w:r>
    </w:p>
    <w:p w14:paraId="1BFF3216">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（4）银行开户材料或单位基本存款账户信息。</w:t>
      </w:r>
    </w:p>
    <w:p w14:paraId="0E8AFDDA">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eastAsia" w:eastAsia="方正仿宋_GBK"/>
          <w:sz w:val="32"/>
          <w:szCs w:val="32"/>
          <w:highlight w:val="none"/>
          <w:lang w:val="en-US" w:eastAsia="zh-CN"/>
        </w:rPr>
      </w:pPr>
      <w:r>
        <w:rPr>
          <w:rFonts w:hint="eastAsia" w:eastAsia="方正仿宋_GBK"/>
          <w:sz w:val="32"/>
          <w:szCs w:val="32"/>
          <w:highlight w:val="none"/>
          <w:lang w:val="en-US" w:eastAsia="zh-CN"/>
        </w:rPr>
        <w:t>（5）申报人营业执照或法人证书（可使用电子证照）。</w:t>
      </w:r>
    </w:p>
    <w:p w14:paraId="609A4572">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auto"/>
        </w:rPr>
      </w:pPr>
      <w:r>
        <w:rPr>
          <w:rFonts w:hint="eastAsia" w:eastAsia="方正仿宋_GBK"/>
          <w:sz w:val="32"/>
          <w:szCs w:val="32"/>
          <w:highlight w:val="none"/>
          <w:lang w:val="en-US" w:eastAsia="zh-CN"/>
        </w:rPr>
        <w:t>（项目联系人：陈韬，联系电话：020-83228313）</w:t>
      </w:r>
    </w:p>
    <w:p w14:paraId="21A6189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E567">
    <w:pPr>
      <w:pStyle w:val="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4955">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AD790">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６</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1CAD790">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６</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6CC1">
    <w:pPr>
      <w:pStyle w:val="4"/>
      <w:jc w:val="right"/>
      <w:rPr>
        <w:rFonts w:hint="eastAsia" w:ascii="仿宋_GB2312"/>
        <w:sz w:val="28"/>
      </w:rPr>
    </w:pPr>
    <w:r>
      <w:rPr>
        <w:sz w:val="2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EEC3F1">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48EEC3F1">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A259">
    <w:pPr>
      <w:pStyle w:val="4"/>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B43BA1">
                          <w:pPr>
                            <w:pStyle w:val="4"/>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6AB43BA1">
                    <w:pPr>
                      <w:pStyle w:val="4"/>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12EF">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23144">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１０</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BE23144">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１０</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F63F">
    <w:pPr>
      <w:pStyle w:val="4"/>
      <w:jc w:val="right"/>
      <w:rPr>
        <w:rFonts w:hint="eastAsia" w:ascii="仿宋_GB2312"/>
        <w:sz w:val="28"/>
      </w:rPr>
    </w:pPr>
    <w:r>
      <w:rPr>
        <w:sz w:val="2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E50C6C">
                          <w:pPr>
                            <w:pStyle w:val="4"/>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2CE50C6C">
                    <w:pPr>
                      <w:pStyle w:val="4"/>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6837">
    <w:pPr>
      <w:pStyle w:val="4"/>
      <w:ind w:right="360" w:firstLine="360"/>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3C0C07">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603C0C07">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560F">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EB7D0">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１２</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7D6EB7D0">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１２</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EF3A">
    <w:pPr>
      <w:pStyle w:val="4"/>
      <w:jc w:val="right"/>
      <w:rPr>
        <w:rFonts w:hint="eastAsia" w:ascii="仿宋_GB2312"/>
        <w:sz w:val="28"/>
      </w:rPr>
    </w:pPr>
    <w:r>
      <w:rPr>
        <w:sz w:val="2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9D632D">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069D632D">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8D81">
    <w:pPr>
      <w:pStyle w:val="4"/>
      <w:ind w:right="360" w:firstLine="360"/>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BDF2E4">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31BDF2E4">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E5F1">
    <w:pPr>
      <w:pStyle w:val="4"/>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6AFA3">
                          <w:pPr>
                            <w:pStyle w:val="4"/>
                          </w:pPr>
                          <w:r>
                            <w:t xml:space="preserve">— </w:t>
                          </w:r>
                          <w:r>
                            <w:fldChar w:fldCharType="begin"/>
                          </w:r>
                          <w:r>
                            <w:instrText xml:space="preserve"> PAGE  \* MERGEFORMAT </w:instrText>
                          </w:r>
                          <w:r>
                            <w:fldChar w:fldCharType="separate"/>
                          </w:r>
                          <w:r>
                            <w:t>１</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0E66AFA3">
                    <w:pPr>
                      <w:pStyle w:val="4"/>
                    </w:pPr>
                    <w:r>
                      <w:t xml:space="preserve">— </w:t>
                    </w:r>
                    <w:r>
                      <w:fldChar w:fldCharType="begin"/>
                    </w:r>
                    <w:r>
                      <w:instrText xml:space="preserve"> PAGE  \* MERGEFORMAT </w:instrText>
                    </w:r>
                    <w:r>
                      <w:fldChar w:fldCharType="separate"/>
                    </w:r>
                    <w:r>
                      <w:t>１</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4C90">
    <w:pPr>
      <w:pStyle w:val="4"/>
      <w:framePr w:w="1696" w:wrap="around" w:vAnchor="text" w:hAnchor="page" w:x="1681" w:y="3"/>
      <w:rPr>
        <w:rStyle w:val="8"/>
        <w:rFonts w:hint="eastAsia" w:ascii="宋体" w:hAnsi="宋体" w:eastAsia="宋体"/>
        <w:sz w:val="28"/>
      </w:rPr>
    </w:pPr>
    <w:r>
      <w:rPr>
        <w:rStyle w:val="8"/>
        <w:rFonts w:hint="eastAsia" w:ascii="仿宋_GB2312"/>
        <w:sz w:val="28"/>
      </w:rPr>
      <w:t xml:space="preserve">  </w:t>
    </w:r>
    <w:r>
      <w:rPr>
        <w:rStyle w:val="8"/>
        <w:rFonts w:hint="eastAsia" w:ascii="宋体" w:hAnsi="宋体" w:eastAsia="宋体"/>
        <w:sz w:val="28"/>
      </w:rPr>
      <w:t xml:space="preserve">─ </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２</w:t>
    </w:r>
    <w:r>
      <w:rPr>
        <w:rFonts w:ascii="宋体" w:hAnsi="宋体" w:eastAsia="宋体"/>
        <w:sz w:val="28"/>
      </w:rPr>
      <w:fldChar w:fldCharType="end"/>
    </w:r>
    <w:r>
      <w:rPr>
        <w:rStyle w:val="8"/>
        <w:rFonts w:hint="eastAsia" w:ascii="宋体" w:hAnsi="宋体" w:eastAsia="宋体"/>
        <w:sz w:val="28"/>
      </w:rPr>
      <w:t xml:space="preserve"> ─</w:t>
    </w:r>
  </w:p>
  <w:p w14:paraId="208C0531">
    <w:pPr>
      <w:pStyle w:val="4"/>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C30E">
    <w:pPr>
      <w:pStyle w:val="4"/>
      <w:jc w:val="right"/>
      <w:rPr>
        <w:rFonts w:hint="eastAsia" w:ascii="仿宋_GB2312"/>
        <w:sz w:val="28"/>
      </w:rPr>
    </w:pPr>
    <w:r>
      <w:rPr>
        <w:sz w:val="2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7D6D89">
                          <w:pPr>
                            <w:pStyle w:val="4"/>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287D6D89">
                    <w:pPr>
                      <w:pStyle w:val="4"/>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C544">
    <w:pPr>
      <w:pStyle w:val="4"/>
      <w:ind w:right="360" w:firstLine="360"/>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620B9B">
                          <w:pPr>
                            <w:pStyle w:val="4"/>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5A620B9B">
                    <w:pPr>
                      <w:pStyle w:val="4"/>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505E">
    <w:pPr>
      <w:pStyle w:val="4"/>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D4346">
                          <w:pPr>
                            <w:pStyle w:val="4"/>
                          </w:pPr>
                          <w:r>
                            <w:t xml:space="preserve">— </w:t>
                          </w:r>
                          <w:r>
                            <w:fldChar w:fldCharType="begin"/>
                          </w:r>
                          <w:r>
                            <w:instrText xml:space="preserve"> PAGE  \* MERGEFORMAT </w:instrText>
                          </w:r>
                          <w:r>
                            <w:fldChar w:fldCharType="separate"/>
                          </w:r>
                          <w:r>
                            <w:t>１</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8AD4346">
                    <w:pPr>
                      <w:pStyle w:val="4"/>
                    </w:pPr>
                    <w:r>
                      <w:t xml:space="preserve">— </w:t>
                    </w:r>
                    <w:r>
                      <w:fldChar w:fldCharType="begin"/>
                    </w:r>
                    <w:r>
                      <w:instrText xml:space="preserve"> PAGE  \* MERGEFORMAT </w:instrText>
                    </w:r>
                    <w:r>
                      <w:fldChar w:fldCharType="separate"/>
                    </w:r>
                    <w:r>
                      <w:t>１</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9FFC">
    <w:pPr>
      <w:pStyle w:val="4"/>
      <w:jc w:val="right"/>
      <w:rPr>
        <w:rFonts w:hint="eastAsia" w:ascii="仿宋_GB2312"/>
        <w:sz w:val="28"/>
      </w:rPr>
    </w:pPr>
    <w:r>
      <w:rPr>
        <w:sz w:val="2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DDDC6C">
                          <w:pPr>
                            <w:pStyle w:val="4"/>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72DDDC6C">
                    <w:pPr>
                      <w:pStyle w:val="4"/>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52BF">
    <w:pPr>
      <w:pStyle w:val="4"/>
      <w:jc w:val="right"/>
      <w:rPr>
        <w:rFonts w:hint="eastAsia" w:ascii="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E6B7">
    <w:pPr>
      <w:pStyle w:val="4"/>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6C76">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4016C76">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014A">
    <w:pPr>
      <w:pStyle w:val="4"/>
      <w:jc w:val="right"/>
      <w:rPr>
        <w:rFonts w:hint="eastAsia" w:ascii="仿宋_GB2312"/>
        <w:sz w:val="28"/>
      </w:rPr>
    </w:pPr>
    <w:r>
      <w:rPr>
        <w:sz w:val="28"/>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EE3F3">
                          <w:pPr>
                            <w:pStyle w:val="4"/>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DDEE3F3">
                    <w:pPr>
                      <w:pStyle w:val="4"/>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0BD6D">
    <w:pPr>
      <w:pStyle w:val="4"/>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2795D7">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4B2795D7">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CCB0">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B3254">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２</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7B3254">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２</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B5FC">
    <w:pPr>
      <w:pStyle w:val="4"/>
      <w:jc w:val="right"/>
      <w:rPr>
        <w:rFonts w:hint="eastAsia" w:ascii="仿宋_GB2312"/>
        <w:sz w:val="28"/>
      </w:rPr>
    </w:pPr>
    <w:r>
      <w:rPr>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94DD7C">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3D94DD7C">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3FC2">
    <w:pPr>
      <w:pStyle w:val="4"/>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14B27D">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3414B27D">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78EE">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EE13">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E378">
    <w:pPr>
      <w:spacing w:before="640"/>
      <w:jc w:val="distribute"/>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ED89">
    <w:pPr>
      <w:spacing w:before="640"/>
      <w:jc w:val="distribute"/>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404E">
    <w:pPr>
      <w:spacing w:before="640"/>
      <w:jc w:val="distribute"/>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C1BF">
    <w:pPr>
      <w:spacing w:before="640"/>
      <w:jc w:val="distribute"/>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ADD1">
    <w:pPr>
      <w:spacing w:before="640"/>
      <w:jc w:val="distribute"/>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6618">
    <w:pPr>
      <w:spacing w:before="640"/>
      <w:jc w:val="distribute"/>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8691">
    <w:pPr>
      <w:spacing w:before="640"/>
      <w:jc w:val="distribute"/>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93959"/>
    <w:rsid w:val="1B127276"/>
    <w:rsid w:val="1C99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5"/>
    <w:basedOn w:val="3"/>
    <w:next w:val="1"/>
    <w:qFormat/>
    <w:uiPriority w:val="0"/>
    <w:pPr>
      <w:ind w:firstLine="200" w:firstLineChars="200"/>
    </w:pPr>
    <w:rPr>
      <w:rFonts w:eastAsia="宋体"/>
      <w:sz w:val="24"/>
      <w:szCs w:val="22"/>
    </w:rPr>
  </w:style>
  <w:style w:type="paragraph" w:customStyle="1" w:styleId="3">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qFormat/>
    <w:uiPriority w:val="0"/>
  </w:style>
  <w:style w:type="paragraph" w:customStyle="1" w:styleId="9">
    <w:name w:val="Normal New"/>
    <w:qFormat/>
    <w:uiPriority w:val="0"/>
    <w:pPr>
      <w:jc w:val="both"/>
    </w:pPr>
    <w:rPr>
      <w:rFonts w:ascii="Times New Roman" w:hAnsi="Times New Roman" w:eastAsia="宋体" w:cs="Times New Roman"/>
      <w:kern w:val="2"/>
      <w:sz w:val="21"/>
    </w:rPr>
  </w:style>
  <w:style w:type="paragraph" w:customStyle="1" w:styleId="10">
    <w:name w:val="普通(网站) New"/>
    <w:basedOn w:val="3"/>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1">
    <w:name w:val="正文 New New New New"/>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目录 2 New"/>
    <w:basedOn w:val="11"/>
    <w:next w:val="11"/>
    <w:qFormat/>
    <w:uiPriority w:val="0"/>
    <w:pPr>
      <w:ind w:left="420" w:leftChars="200"/>
    </w:pPr>
  </w:style>
  <w:style w:type="paragraph" w:customStyle="1" w:styleId="13">
    <w:name w:val="正文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目录 2 New New"/>
    <w:basedOn w:val="3"/>
    <w:next w:val="3"/>
    <w:qFormat/>
    <w:uiPriority w:val="0"/>
    <w:pPr>
      <w:spacing w:line="360" w:lineRule="auto"/>
    </w:pPr>
    <w:rPr>
      <w:rFonts w:ascii="仿宋_GB2312" w:hAnsi="仿宋_GB2312" w:eastAsia="仿宋_GB2312" w:cs="仿宋_GB2312"/>
      <w:b/>
      <w:bCs/>
      <w:sz w:val="32"/>
      <w:szCs w:val="32"/>
    </w:rPr>
  </w:style>
  <w:style w:type="paragraph" w:customStyle="1" w:styleId="1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header" Target="header9.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2026-02-03T01:30:00Z</dcterms:created>
  <dc:creator>叶菲</dc:creator>
  <cp:lastModifiedBy>叶菲</cp:lastModifiedBy>
  <dcterms:modified xsi:type="dcterms:W3CDTF">2026-02-03T01:52:44Z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967A101523534425A43E9F1FA05590BC_11</vt:lpwstr>
  </property>
  <property fmtid="{D5CDD505-2E9C-101B-9397-08002B2CF9AE}" pid="4" name="KSOTemplateDocerSaveRecord">
    <vt:lpwstr>eyJoZGlkIjoiNzY3ZDhhMTNlYjdhYzYwN2ZlZjg0OTA4NGExOTcxNjAiLCJ1c2VySWQiOiIyODMyODk2OTAifQ==</vt:lpwstr>
  </property>
</Properties>
</file>