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FED1B">
      <w:pPr>
        <w:pStyle w:val="3"/>
        <w:spacing w:line="580" w:lineRule="exact"/>
        <w:jc w:val="center"/>
        <w:rPr>
          <w:rFonts w:hint="default" w:ascii="方正小标宋简体" w:hAnsi="方正小标宋简体" w:eastAsia="方正小标宋简体" w:cs="方正小标宋简体"/>
          <w:snapToGrid w:val="0"/>
          <w:kern w:val="0"/>
          <w:sz w:val="44"/>
          <w:szCs w:val="44"/>
          <w:highlight w:val="none"/>
          <w:lang w:val="zh-CN" w:eastAsia="zh-CN"/>
        </w:rPr>
      </w:pPr>
      <w:bookmarkStart w:id="85" w:name="_GoBack"/>
      <w:r>
        <w:rPr>
          <w:rFonts w:hint="default" w:ascii="方正小标宋简体" w:hAnsi="方正小标宋简体" w:eastAsia="方正小标宋简体" w:cs="方正小标宋简体"/>
          <w:snapToGrid w:val="0"/>
          <w:kern w:val="0"/>
          <w:sz w:val="44"/>
          <w:szCs w:val="44"/>
          <w:highlight w:val="none"/>
          <w:lang w:eastAsia="zh-CN"/>
        </w:rPr>
        <w:t>第</w:t>
      </w:r>
      <w:r>
        <w:rPr>
          <w:rFonts w:hint="default" w:ascii="方正小标宋简体" w:hAnsi="方正小标宋简体" w:eastAsia="方正小标宋简体" w:cs="方正小标宋简体"/>
          <w:snapToGrid w:val="0"/>
          <w:kern w:val="0"/>
          <w:sz w:val="44"/>
          <w:szCs w:val="44"/>
          <w:highlight w:val="none"/>
          <w:lang w:val="en-US" w:eastAsia="zh-CN"/>
        </w:rPr>
        <w:t>四</w:t>
      </w:r>
      <w:r>
        <w:rPr>
          <w:rFonts w:hint="default" w:ascii="方正小标宋简体" w:hAnsi="方正小标宋简体" w:eastAsia="方正小标宋简体" w:cs="方正小标宋简体"/>
          <w:snapToGrid w:val="0"/>
          <w:kern w:val="0"/>
          <w:sz w:val="44"/>
          <w:szCs w:val="44"/>
          <w:highlight w:val="none"/>
          <w:lang w:eastAsia="zh-CN"/>
        </w:rPr>
        <w:t>届粤东西北知识产权创新运用</w:t>
      </w:r>
      <w:r>
        <w:rPr>
          <w:rFonts w:hint="default" w:ascii="方正小标宋简体" w:hAnsi="方正小标宋简体" w:eastAsia="方正小标宋简体" w:cs="方正小标宋简体"/>
          <w:snapToGrid w:val="0"/>
          <w:kern w:val="0"/>
          <w:sz w:val="44"/>
          <w:szCs w:val="44"/>
          <w:highlight w:val="none"/>
          <w:lang w:val="zh-CN" w:eastAsia="zh-CN"/>
        </w:rPr>
        <w:t>大赛</w:t>
      </w:r>
    </w:p>
    <w:p w14:paraId="01B057FC">
      <w:pPr>
        <w:pStyle w:val="3"/>
        <w:spacing w:line="580" w:lineRule="exact"/>
        <w:jc w:val="center"/>
        <w:rPr>
          <w:rFonts w:hint="default" w:ascii="小标宋" w:hAnsi="小标宋" w:eastAsia="小标宋" w:cs="小标宋"/>
          <w:snapToGrid w:val="0"/>
          <w:kern w:val="0"/>
          <w:sz w:val="44"/>
          <w:szCs w:val="44"/>
          <w:highlight w:val="none"/>
          <w:lang w:val="zh-CN" w:eastAsia="zh-CN"/>
        </w:rPr>
      </w:pPr>
      <w:r>
        <w:rPr>
          <w:rFonts w:hint="default" w:ascii="方正小标宋简体" w:hAnsi="方正小标宋简体" w:eastAsia="方正小标宋简体" w:cs="方正小标宋简体"/>
          <w:snapToGrid w:val="0"/>
          <w:kern w:val="0"/>
          <w:sz w:val="44"/>
          <w:szCs w:val="44"/>
          <w:highlight w:val="none"/>
          <w:lang w:val="zh-CN" w:eastAsia="zh-CN"/>
        </w:rPr>
        <w:t>工作方案</w:t>
      </w:r>
      <w:bookmarkEnd w:id="85"/>
    </w:p>
    <w:p w14:paraId="5C6B3D77">
      <w:pPr>
        <w:autoSpaceDE w:val="0"/>
        <w:adjustRightInd w:val="0"/>
        <w:snapToGrid w:val="0"/>
        <w:spacing w:line="580" w:lineRule="exact"/>
        <w:ind w:firstLine="640" w:firstLineChars="200"/>
        <w:rPr>
          <w:rFonts w:hint="default" w:ascii="Times New Roman" w:hAnsi="Times New Roman" w:eastAsia="仿宋_GB2312" w:cs="Times New Roman"/>
          <w:sz w:val="32"/>
          <w:szCs w:val="32"/>
          <w:highlight w:val="none"/>
        </w:rPr>
      </w:pPr>
    </w:p>
    <w:p w14:paraId="5B14C0F6">
      <w:pPr>
        <w:autoSpaceDE w:val="0"/>
        <w:adjustRightInd w:val="0"/>
        <w:snapToGrid w:val="0"/>
        <w:spacing w:line="580" w:lineRule="exact"/>
        <w:ind w:firstLine="640" w:firstLineChars="200"/>
        <w:jc w:val="both"/>
        <w:rPr>
          <w:rFonts w:hint="default" w:ascii="Times New Roman" w:hAnsi="Times New Roman" w:eastAsia="仿宋_GB2312" w:cs="Times New Roman"/>
          <w:kern w:val="0"/>
          <w:sz w:val="32"/>
          <w:szCs w:val="32"/>
          <w:highlight w:val="none"/>
          <w:lang w:eastAsia="zh-CN" w:bidi="ar"/>
        </w:rPr>
      </w:pPr>
      <w:bookmarkStart w:id="0" w:name="sys380192"/>
      <w:r>
        <w:rPr>
          <w:rFonts w:hint="default" w:ascii="Times New Roman" w:hAnsi="Times New Roman" w:eastAsia="仿宋_GB2312" w:cs="Times New Roman"/>
          <w:kern w:val="0"/>
          <w:sz w:val="32"/>
          <w:szCs w:val="32"/>
          <w:highlight w:val="none"/>
          <w:lang w:bidi="ar"/>
        </w:rPr>
        <w:t>为深入贯彻落实习近平总书记关于知识产权工作的重要讲话和重要指示精神，贯彻落实省委、省政府工作部署，</w:t>
      </w:r>
      <w:r>
        <w:rPr>
          <w:rFonts w:hint="default" w:ascii="Times New Roman" w:hAnsi="Times New Roman" w:eastAsia="仿宋_GB2312" w:cs="Times New Roman"/>
          <w:kern w:val="0"/>
          <w:sz w:val="32"/>
          <w:szCs w:val="32"/>
          <w:highlight w:val="none"/>
          <w:lang w:val="en-US" w:eastAsia="zh-CN" w:bidi="ar"/>
        </w:rPr>
        <w:t>汇聚一批省内外优质知识产权创新成果落地转化，推动一批高价值知识产权成果在粤东西北地区实现产业化，</w:t>
      </w:r>
      <w:r>
        <w:rPr>
          <w:rFonts w:hint="default" w:ascii="Times New Roman" w:hAnsi="Times New Roman" w:eastAsia="仿宋_GB2312" w:cs="Times New Roman"/>
          <w:kern w:val="0"/>
          <w:sz w:val="32"/>
          <w:szCs w:val="32"/>
          <w:highlight w:val="none"/>
          <w:lang w:bidi="ar"/>
        </w:rPr>
        <w:t>提升区域协同发展能力，扎实推进</w:t>
      </w:r>
      <w:r>
        <w:rPr>
          <w:rFonts w:hint="default" w:ascii="Times New Roman" w:hAnsi="Times New Roman" w:eastAsia="仿宋_GB2312" w:cs="Times New Roman"/>
          <w:kern w:val="0"/>
          <w:sz w:val="32"/>
          <w:szCs w:val="32"/>
          <w:highlight w:val="none"/>
          <w:lang w:val="en-US" w:eastAsia="zh-CN" w:bidi="ar"/>
        </w:rPr>
        <w:t>粤东西北地区高质量发展，</w:t>
      </w:r>
      <w:r>
        <w:rPr>
          <w:rFonts w:hint="default" w:ascii="Times New Roman" w:hAnsi="Times New Roman" w:eastAsia="仿宋_GB2312" w:cs="Times New Roman"/>
          <w:kern w:val="0"/>
          <w:sz w:val="32"/>
          <w:szCs w:val="32"/>
          <w:highlight w:val="none"/>
          <w:lang w:bidi="ar"/>
        </w:rPr>
        <w:t>广东省市场监督管理局（知识产权局）、</w:t>
      </w:r>
      <w:r>
        <w:rPr>
          <w:rFonts w:hint="default" w:ascii="Times New Roman" w:hAnsi="Times New Roman" w:eastAsia="仿宋_GB2312" w:cs="Times New Roman"/>
          <w:kern w:val="0"/>
          <w:sz w:val="32"/>
          <w:szCs w:val="32"/>
          <w:highlight w:val="none"/>
          <w:lang w:val="en-US" w:eastAsia="zh-CN" w:bidi="ar"/>
        </w:rPr>
        <w:t>潮州</w:t>
      </w:r>
      <w:r>
        <w:rPr>
          <w:rFonts w:hint="default" w:ascii="Times New Roman" w:hAnsi="Times New Roman" w:eastAsia="仿宋_GB2312" w:cs="Times New Roman"/>
          <w:kern w:val="0"/>
          <w:sz w:val="32"/>
          <w:szCs w:val="32"/>
          <w:highlight w:val="none"/>
          <w:lang w:bidi="ar"/>
        </w:rPr>
        <w:t>市人民政府联合举办第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届粤东西北知识产权创新运用大赛，现将</w:t>
      </w:r>
      <w:r>
        <w:rPr>
          <w:rFonts w:hint="default" w:ascii="Times New Roman" w:hAnsi="Times New Roman" w:eastAsia="仿宋_GB2312" w:cs="Times New Roman"/>
          <w:kern w:val="0"/>
          <w:sz w:val="32"/>
          <w:szCs w:val="32"/>
          <w:highlight w:val="none"/>
          <w:lang w:eastAsia="zh-CN" w:bidi="ar"/>
        </w:rPr>
        <w:t>制定方案</w:t>
      </w:r>
      <w:r>
        <w:rPr>
          <w:rFonts w:hint="default" w:ascii="Times New Roman" w:hAnsi="Times New Roman" w:eastAsia="仿宋_GB2312" w:cs="Times New Roman"/>
          <w:kern w:val="0"/>
          <w:sz w:val="32"/>
          <w:szCs w:val="32"/>
          <w:highlight w:val="none"/>
          <w:lang w:bidi="ar"/>
        </w:rPr>
        <w:t>如下</w:t>
      </w:r>
      <w:bookmarkEnd w:id="0"/>
      <w:r>
        <w:rPr>
          <w:rFonts w:hint="eastAsia" w:eastAsia="仿宋_GB2312" w:cs="Times New Roman"/>
          <w:kern w:val="0"/>
          <w:sz w:val="32"/>
          <w:szCs w:val="32"/>
          <w:highlight w:val="none"/>
          <w:lang w:eastAsia="zh-CN" w:bidi="ar"/>
        </w:rPr>
        <w:t>。</w:t>
      </w:r>
    </w:p>
    <w:p w14:paraId="0A91FD30">
      <w:pPr>
        <w:adjustRightInd w:val="0"/>
        <w:snapToGrid w:val="0"/>
        <w:spacing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kern w:val="0"/>
          <w:sz w:val="32"/>
          <w:szCs w:val="32"/>
          <w:highlight w:val="none"/>
        </w:rPr>
        <w:t>一、大赛名称及主题</w:t>
      </w:r>
      <w:bookmarkStart w:id="1" w:name="pindex39"/>
      <w:bookmarkEnd w:id="1"/>
    </w:p>
    <w:p w14:paraId="18E7DEA0">
      <w:pPr>
        <w:adjustRightInd w:val="0"/>
        <w:snapToGrid w:val="0"/>
        <w:spacing w:line="58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kern w:val="0"/>
          <w:sz w:val="32"/>
          <w:szCs w:val="32"/>
          <w:highlight w:val="none"/>
          <w:lang w:bidi="ar"/>
        </w:rPr>
        <w:t>（一）大赛名称</w:t>
      </w:r>
    </w:p>
    <w:p w14:paraId="2F2F23D2">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届粤东西北知识产权创新运用大赛</w:t>
      </w:r>
      <w:bookmarkStart w:id="2" w:name="pindex40"/>
      <w:bookmarkEnd w:id="2"/>
    </w:p>
    <w:p w14:paraId="65A481C6">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eastAsia="zh-CN" w:bidi="ar"/>
        </w:rPr>
      </w:pPr>
      <w:r>
        <w:rPr>
          <w:rFonts w:hint="default" w:ascii="Times New Roman" w:hAnsi="Times New Roman" w:eastAsia="楷体_GB2312" w:cs="Times New Roman"/>
          <w:kern w:val="0"/>
          <w:sz w:val="32"/>
          <w:szCs w:val="32"/>
          <w:highlight w:val="none"/>
          <w:lang w:eastAsia="zh-CN" w:bidi="ar"/>
        </w:rPr>
        <w:t>（二）大赛主题</w:t>
      </w:r>
    </w:p>
    <w:p w14:paraId="681A3550">
      <w:pPr>
        <w:keepNext w:val="0"/>
        <w:keepLines w:val="0"/>
        <w:widowControl/>
        <w:suppressLineNumbers w:val="0"/>
        <w:autoSpaceDE w:val="0"/>
        <w:adjustRightInd w:val="0"/>
        <w:snapToGrid w:val="0"/>
        <w:spacing w:line="580" w:lineRule="exact"/>
        <w:ind w:firstLine="640" w:firstLineChars="200"/>
        <w:jc w:val="both"/>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创新蓄能，转化兴产</w:t>
      </w:r>
    </w:p>
    <w:p w14:paraId="38B22899">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（三）办赛目的</w:t>
      </w:r>
    </w:p>
    <w:p w14:paraId="1DDF54C4">
      <w:pPr>
        <w:keepNext w:val="0"/>
        <w:keepLines w:val="0"/>
        <w:pageBreakBefore w:val="0"/>
        <w:widowControl/>
        <w:suppressLineNumbers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color w:val="auto"/>
          <w:kern w:val="0"/>
          <w:sz w:val="32"/>
          <w:szCs w:val="32"/>
          <w:highlight w:val="none"/>
          <w:shd w:val="clear" w:color="auto" w:fill="auto"/>
          <w:lang w:val="en-US" w:eastAsia="zh-CN" w:bidi="ar"/>
        </w:rPr>
        <w:t>紧密结合粤东西北地区产业发展实际，</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依托赛事平台</w:t>
      </w:r>
      <w:r>
        <w:rPr>
          <w:rFonts w:hint="default" w:ascii="Times New Roman" w:hAnsi="Times New Roman" w:eastAsia="仿宋_GB2312" w:cs="Times New Roman"/>
          <w:kern w:val="0"/>
          <w:sz w:val="32"/>
          <w:szCs w:val="32"/>
          <w:highlight w:val="none"/>
          <w:u w:val="none"/>
          <w:shd w:val="clear" w:color="auto" w:fill="auto"/>
          <w:lang w:val="en-US" w:eastAsia="zh-CN" w:bidi="ar"/>
        </w:rPr>
        <w:t>，</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深挖区域产业升级与技术迭代需求，聚焦专利转化引进、商标品牌提质运营、地理标志产品推广三大方向精准赋能产业发展。</w:t>
      </w:r>
      <w:r>
        <w:rPr>
          <w:rFonts w:hint="default" w:ascii="Times New Roman" w:hAnsi="Times New Roman" w:eastAsia="仿宋_GB2312" w:cs="Times New Roman"/>
          <w:kern w:val="0"/>
          <w:sz w:val="32"/>
          <w:szCs w:val="32"/>
          <w:highlight w:val="none"/>
          <w:shd w:val="clear" w:color="auto" w:fill="auto"/>
          <w:lang w:val="en-US" w:eastAsia="zh-CN" w:bidi="ar"/>
        </w:rPr>
        <w:t>坚持以赛促引、以赛促投、以赛促用、以赛促培，</w:t>
      </w:r>
      <w:r>
        <w:rPr>
          <w:rFonts w:hint="default" w:ascii="Times New Roman" w:hAnsi="Times New Roman" w:eastAsia="仿宋_GB2312" w:cs="Times New Roman"/>
          <w:kern w:val="0"/>
          <w:sz w:val="32"/>
          <w:szCs w:val="32"/>
          <w:highlight w:val="none"/>
          <w:u w:val="none"/>
          <w:shd w:val="clear" w:color="auto" w:fill="auto"/>
          <w:lang w:val="en-US" w:eastAsia="zh-CN" w:bidi="ar"/>
        </w:rPr>
        <w:t>通过</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大赛搭建全链条成果转化平台、创新市场化转化模式、汇聚产学研供需资源、培育专业化转化人才，系统构建粤东西北创新成果转化运用生态体系，加速创新成果落地见效、转化为现实生产力，持续增强区域产业核心竞争力，推动粤东西北</w:t>
      </w:r>
      <w:r>
        <w:rPr>
          <w:rFonts w:hint="default" w:ascii="Times New Roman" w:hAnsi="Times New Roman" w:eastAsia="仿宋_GB2312" w:cs="Times New Roman"/>
          <w:kern w:val="0"/>
          <w:sz w:val="32"/>
          <w:szCs w:val="32"/>
          <w:highlight w:val="none"/>
          <w:shd w:val="clear" w:color="auto" w:fill="auto"/>
          <w:lang w:val="en-US" w:eastAsia="zh-CN" w:bidi="ar"/>
        </w:rPr>
        <w:t>经济高质量发展。</w:t>
      </w:r>
    </w:p>
    <w:p w14:paraId="19B4FAAD">
      <w:pPr>
        <w:keepNext w:val="0"/>
        <w:keepLines w:val="0"/>
        <w:pageBreakBefore w:val="0"/>
        <w:kinsoku/>
        <w:wordWrap/>
        <w:overflowPunct/>
        <w:topLinePunct w:val="0"/>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zh-CN"/>
        </w:rPr>
        <w:t>二、</w:t>
      </w:r>
      <w:r>
        <w:rPr>
          <w:rFonts w:hint="default" w:ascii="Times New Roman" w:hAnsi="Times New Roman" w:eastAsia="黑体" w:cs="Times New Roman"/>
          <w:kern w:val="0"/>
          <w:sz w:val="32"/>
          <w:szCs w:val="32"/>
          <w:highlight w:val="none"/>
        </w:rPr>
        <w:t>组织单位</w:t>
      </w:r>
      <w:bookmarkStart w:id="3" w:name="pindex43"/>
      <w:bookmarkEnd w:id="3"/>
    </w:p>
    <w:p w14:paraId="51C0080F">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（一）主办单位</w:t>
      </w:r>
      <w:bookmarkStart w:id="4" w:name="pindex44"/>
      <w:bookmarkEnd w:id="4"/>
    </w:p>
    <w:p w14:paraId="3E806D40">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广东省市场监督管理局（知识产权局）</w:t>
      </w:r>
    </w:p>
    <w:p w14:paraId="36874D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潮州市人民政府</w:t>
      </w:r>
    </w:p>
    <w:p w14:paraId="654BE645">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（二）承办单位</w:t>
      </w:r>
      <w:bookmarkStart w:id="5" w:name="pindex47"/>
      <w:bookmarkEnd w:id="5"/>
    </w:p>
    <w:p w14:paraId="4598EDD0">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潮州</w:t>
      </w:r>
      <w:r>
        <w:rPr>
          <w:rFonts w:hint="default" w:ascii="Times New Roman" w:hAnsi="Times New Roman" w:eastAsia="仿宋_GB2312" w:cs="Times New Roman"/>
          <w:kern w:val="0"/>
          <w:sz w:val="32"/>
          <w:szCs w:val="32"/>
          <w:highlight w:val="none"/>
          <w:lang w:bidi="ar"/>
        </w:rPr>
        <w:t>市市场监督管理局（知识产权局）</w:t>
      </w:r>
    </w:p>
    <w:p w14:paraId="7FB3767E">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（三）协办单位</w:t>
      </w:r>
      <w:bookmarkStart w:id="6" w:name="pindex49"/>
      <w:bookmarkEnd w:id="6"/>
    </w:p>
    <w:p w14:paraId="2672D39A">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汕头市市场监督管理局（知识产权局）</w:t>
      </w:r>
    </w:p>
    <w:p w14:paraId="2883747C">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韶关市市场监督管理局（知识产权局）</w:t>
      </w:r>
    </w:p>
    <w:p w14:paraId="5C84455C">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河源市市场监督管理局（知识产权局）</w:t>
      </w:r>
    </w:p>
    <w:p w14:paraId="4705FE52">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梅州市市场监督管理局（知识产权局）</w:t>
      </w:r>
    </w:p>
    <w:p w14:paraId="5E543DF4">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汕尾市市场监督管理局（知识产权局）</w:t>
      </w:r>
    </w:p>
    <w:p w14:paraId="1A81953D">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阳江市市场监督管理局（知识产权局）</w:t>
      </w:r>
    </w:p>
    <w:p w14:paraId="76DD0B1C">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湛江市市场监督管理局（知识产权局）</w:t>
      </w:r>
    </w:p>
    <w:p w14:paraId="5E0E5982">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茂名市市场监督管理局（知识产权局）</w:t>
      </w:r>
    </w:p>
    <w:p w14:paraId="3A3EE25D">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清远市市场监督管理局（知识产权局）</w:t>
      </w:r>
    </w:p>
    <w:p w14:paraId="0ECF8A87">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揭阳市市场监督管理局（知识产权局）</w:t>
      </w:r>
    </w:p>
    <w:p w14:paraId="266CBDB6">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云浮市市场监督管理局（知识产权局）</w:t>
      </w:r>
    </w:p>
    <w:p w14:paraId="3D42899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color w:val="000000"/>
          <w:kern w:val="0"/>
          <w:sz w:val="32"/>
          <w:szCs w:val="32"/>
          <w:highlight w:val="none"/>
          <w:lang w:bidi="ar"/>
        </w:rPr>
      </w:pPr>
      <w:r>
        <w:rPr>
          <w:rFonts w:hint="eastAsia" w:ascii="Times New Roman" w:hAnsi="Times New Roman" w:eastAsia="楷体_GB2312" w:cs="Times New Roman"/>
          <w:kern w:val="0"/>
          <w:sz w:val="32"/>
          <w:szCs w:val="32"/>
          <w:highlight w:val="none"/>
          <w:lang w:eastAsia="zh-CN" w:bidi="ar"/>
        </w:rPr>
        <w:t>（四）</w:t>
      </w:r>
      <w:r>
        <w:rPr>
          <w:rFonts w:hint="default" w:ascii="Times New Roman" w:hAnsi="Times New Roman" w:eastAsia="楷体_GB2312" w:cs="Times New Roman"/>
          <w:kern w:val="0"/>
          <w:sz w:val="32"/>
          <w:szCs w:val="32"/>
          <w:highlight w:val="none"/>
          <w:lang w:bidi="ar"/>
        </w:rPr>
        <w:t>工作机构</w:t>
      </w:r>
      <w:bookmarkStart w:id="7" w:name="pindex65"/>
      <w:bookmarkEnd w:id="7"/>
    </w:p>
    <w:p w14:paraId="4166D69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bidi="ar"/>
        </w:rPr>
      </w:pPr>
      <w:r>
        <w:rPr>
          <w:rFonts w:hint="default" w:ascii="Times New Roman" w:hAnsi="Times New Roman" w:eastAsia="仿宋_GB2312" w:cs="Times New Roman"/>
          <w:color w:val="000000"/>
          <w:kern w:val="2"/>
          <w:sz w:val="32"/>
          <w:szCs w:val="32"/>
          <w:highlight w:val="none"/>
          <w:lang w:val="en-US" w:eastAsia="zh-CN" w:bidi="ar"/>
        </w:rPr>
        <w:t>第四届粤创赛设立执行委员会（以下简称执委会），由主、承办单位指派相关负责同志组成，统筹协调赛事并执行整体工作，主要职责包括：研究拟定赛事工作方案，审议赛事关键节点及计划安排，统筹实现总体办赛目标，推进大赛各项任务落实。执委会下设3个专业委员会：</w:t>
      </w:r>
    </w:p>
    <w:p w14:paraId="2EDD50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kern w:val="2"/>
          <w:sz w:val="32"/>
          <w:szCs w:val="32"/>
          <w:highlight w:val="none"/>
          <w:lang w:val="en-US" w:eastAsia="zh-CN" w:bidi="ar"/>
        </w:rPr>
        <w:t>1.指导委员会。主要负责制定本次大赛的评审规则和评审标准，处理大赛过程中的有关专业技术问题，对大赛评审过程进行指导。</w:t>
      </w:r>
    </w:p>
    <w:p w14:paraId="1985ABC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kern w:val="2"/>
          <w:sz w:val="32"/>
          <w:szCs w:val="32"/>
          <w:highlight w:val="none"/>
          <w:lang w:val="en-US" w:eastAsia="zh-CN" w:bidi="ar"/>
        </w:rPr>
        <w:t>2.评审委员会。主要负责审查参赛项目条件资格；组织专家按照评审规则、评审标准对参赛项目进行评判和评分，向执委会推荐获奖名单；处理关于参赛要求的举报投诉。</w:t>
      </w:r>
    </w:p>
    <w:p w14:paraId="16D6421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kern w:val="2"/>
          <w:sz w:val="32"/>
          <w:szCs w:val="32"/>
          <w:highlight w:val="none"/>
          <w:lang w:val="en-US" w:eastAsia="zh-CN" w:bidi="ar"/>
        </w:rPr>
        <w:t>3.仲裁委员会。主要负责监督评审活动全过程，受理和处理比赛过程中出现的申诉。</w:t>
      </w:r>
    </w:p>
    <w:p w14:paraId="38CC4091">
      <w:pPr>
        <w:pStyle w:val="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textAlignment w:val="auto"/>
        <w:rPr>
          <w:rFonts w:hint="default" w:ascii="Times New Roman" w:hAnsi="Times New Roman" w:eastAsia="楷体_GB2312" w:cs="Times New Roman"/>
          <w:color w:val="auto"/>
          <w:kern w:val="0"/>
          <w:sz w:val="32"/>
          <w:szCs w:val="32"/>
          <w:highlight w:val="none"/>
          <w:lang w:bidi="ar"/>
        </w:rPr>
      </w:pPr>
      <w:r>
        <w:rPr>
          <w:rFonts w:hint="default" w:ascii="Times New Roman" w:hAnsi="Times New Roman" w:eastAsia="楷体_GB2312" w:cs="Times New Roman"/>
          <w:color w:val="auto"/>
          <w:kern w:val="0"/>
          <w:sz w:val="32"/>
          <w:szCs w:val="32"/>
          <w:highlight w:val="none"/>
          <w:lang w:bidi="ar"/>
        </w:rPr>
        <w:t>（五）专家库</w:t>
      </w:r>
    </w:p>
    <w:p w14:paraId="72EDA88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保证赛制设置与评审的科学性、公平性、合理性，通过选聘和网络征集的方式，邀请在专利转化、商标品牌、地理标志以及相关产业技术、投融资等领域具有社会影响力的专家组建评审专家库，从中抽取赛事指导专家、评审专家和培训专家，对赛事提供专家服务支撑。专家库人数约300人。</w:t>
      </w:r>
    </w:p>
    <w:p w14:paraId="79392A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评审专家采用随机抽选的形式产生，并按照大赛评审规则，评选出各赛段晋级与获奖项目。</w:t>
      </w:r>
    </w:p>
    <w:p w14:paraId="3CF8D725">
      <w:pPr>
        <w:adjustRightInd w:val="0"/>
        <w:snapToGrid w:val="0"/>
        <w:spacing w:line="580" w:lineRule="exact"/>
        <w:ind w:firstLine="640" w:firstLineChars="200"/>
        <w:rPr>
          <w:rFonts w:hint="default" w:ascii="Times New Roman" w:hAnsi="Times New Roman" w:eastAsia="黑体" w:cs="Times New Roman"/>
          <w:b w:val="0"/>
          <w:kern w:val="0"/>
          <w:sz w:val="32"/>
          <w:szCs w:val="32"/>
          <w:highlight w:val="none"/>
        </w:rPr>
      </w:pPr>
      <w:r>
        <w:rPr>
          <w:rFonts w:hint="default" w:ascii="Times New Roman" w:hAnsi="Times New Roman" w:eastAsia="黑体" w:cs="Times New Roman"/>
          <w:kern w:val="0"/>
          <w:sz w:val="32"/>
          <w:szCs w:val="32"/>
          <w:highlight w:val="none"/>
          <w:lang w:val="zh-CN"/>
        </w:rPr>
        <w:t>三、时间及地点</w:t>
      </w:r>
      <w:bookmarkStart w:id="8" w:name="pindex73"/>
      <w:bookmarkEnd w:id="8"/>
    </w:p>
    <w:p w14:paraId="05FEF981">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（一）比赛时间</w:t>
      </w:r>
    </w:p>
    <w:p w14:paraId="0F8E832A">
      <w:pPr>
        <w:autoSpaceDE/>
        <w:adjustRightInd w:val="0"/>
        <w:snapToGrid w:val="0"/>
        <w:spacing w:line="580" w:lineRule="exact"/>
        <w:ind w:firstLine="640" w:firstLineChars="200"/>
        <w:rPr>
          <w:rFonts w:hint="default" w:ascii="Times New Roman" w:hAnsi="Times New Roman" w:eastAsia="仿宋_GB2312" w:cs="Times New Roman"/>
          <w:color w:val="auto"/>
          <w:kern w:val="2"/>
          <w:sz w:val="32"/>
          <w:szCs w:val="32"/>
          <w:highlight w:val="none"/>
          <w:lang w:bidi="ar"/>
        </w:rPr>
      </w:pPr>
      <w:r>
        <w:rPr>
          <w:rFonts w:hint="default" w:ascii="Times New Roman" w:hAnsi="Times New Roman" w:eastAsia="仿宋_GB2312" w:cs="Times New Roman"/>
          <w:color w:val="auto"/>
          <w:kern w:val="2"/>
          <w:sz w:val="32"/>
          <w:szCs w:val="32"/>
          <w:highlight w:val="none"/>
          <w:lang w:eastAsia="zh-CN" w:bidi="ar"/>
        </w:rPr>
        <w:t>计划</w:t>
      </w:r>
      <w:r>
        <w:rPr>
          <w:rFonts w:hint="eastAsia" w:eastAsia="仿宋_GB2312" w:cs="Times New Roman"/>
          <w:color w:val="auto"/>
          <w:kern w:val="2"/>
          <w:sz w:val="32"/>
          <w:szCs w:val="32"/>
          <w:highlight w:val="none"/>
          <w:lang w:eastAsia="zh-CN" w:bidi="ar"/>
        </w:rPr>
        <w:t>于</w:t>
      </w:r>
      <w:r>
        <w:rPr>
          <w:rFonts w:hint="default" w:ascii="Times New Roman" w:hAnsi="Times New Roman" w:eastAsia="仿宋_GB2312" w:cs="Times New Roman"/>
          <w:color w:val="auto"/>
          <w:kern w:val="2"/>
          <w:sz w:val="32"/>
          <w:szCs w:val="32"/>
          <w:highlight w:val="none"/>
          <w:lang w:bidi="ar"/>
        </w:rPr>
        <w:t>202</w:t>
      </w:r>
      <w:r>
        <w:rPr>
          <w:rFonts w:hint="default" w:ascii="Times New Roman" w:hAnsi="Times New Roman"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bidi="ar"/>
        </w:rPr>
        <w:t>年</w:t>
      </w:r>
      <w:r>
        <w:rPr>
          <w:rFonts w:hint="eastAsia" w:eastAsia="仿宋_GB2312" w:cs="Times New Roman"/>
          <w:color w:val="auto"/>
          <w:kern w:val="2"/>
          <w:sz w:val="32"/>
          <w:szCs w:val="32"/>
          <w:highlight w:val="none"/>
          <w:lang w:val="en-US" w:eastAsia="zh-CN" w:bidi="ar"/>
        </w:rPr>
        <w:t>5</w:t>
      </w:r>
      <w:r>
        <w:rPr>
          <w:rFonts w:hint="default" w:ascii="Times New Roman" w:hAnsi="Times New Roman" w:eastAsia="仿宋_GB2312" w:cs="Times New Roman"/>
          <w:color w:val="auto"/>
          <w:kern w:val="2"/>
          <w:sz w:val="32"/>
          <w:szCs w:val="32"/>
          <w:highlight w:val="none"/>
          <w:lang w:bidi="ar"/>
        </w:rPr>
        <w:t>—</w:t>
      </w:r>
      <w:r>
        <w:rPr>
          <w:rFonts w:hint="default" w:ascii="Times New Roman" w:hAnsi="Times New Roman" w:eastAsia="仿宋_GB2312" w:cs="Times New Roman"/>
          <w:color w:val="auto"/>
          <w:kern w:val="2"/>
          <w:sz w:val="32"/>
          <w:szCs w:val="32"/>
          <w:highlight w:val="none"/>
          <w:lang w:val="en-US" w:eastAsia="zh-CN" w:bidi="ar"/>
        </w:rPr>
        <w:t>12</w:t>
      </w:r>
      <w:r>
        <w:rPr>
          <w:rFonts w:hint="default" w:ascii="Times New Roman" w:hAnsi="Times New Roman" w:eastAsia="仿宋_GB2312" w:cs="Times New Roman"/>
          <w:color w:val="auto"/>
          <w:kern w:val="2"/>
          <w:sz w:val="32"/>
          <w:szCs w:val="32"/>
          <w:highlight w:val="none"/>
          <w:lang w:bidi="ar"/>
        </w:rPr>
        <w:t>月</w:t>
      </w:r>
      <w:r>
        <w:rPr>
          <w:rFonts w:hint="default" w:ascii="Times New Roman" w:hAnsi="Times New Roman" w:eastAsia="仿宋_GB2312" w:cs="Times New Roman"/>
          <w:color w:val="auto"/>
          <w:kern w:val="2"/>
          <w:sz w:val="32"/>
          <w:szCs w:val="32"/>
          <w:highlight w:val="none"/>
          <w:lang w:eastAsia="zh-CN" w:bidi="ar"/>
        </w:rPr>
        <w:t>进行</w:t>
      </w:r>
      <w:r>
        <w:rPr>
          <w:rFonts w:hint="default" w:ascii="Times New Roman" w:hAnsi="Times New Roman" w:eastAsia="仿宋_GB2312" w:cs="Times New Roman"/>
          <w:color w:val="auto"/>
          <w:kern w:val="2"/>
          <w:sz w:val="32"/>
          <w:szCs w:val="32"/>
          <w:highlight w:val="none"/>
          <w:lang w:bidi="ar"/>
        </w:rPr>
        <w:t>。其中，大赛启动至</w:t>
      </w:r>
      <w:r>
        <w:rPr>
          <w:rFonts w:hint="default" w:ascii="Times New Roman" w:hAnsi="Times New Roman" w:eastAsia="仿宋_GB2312" w:cs="Times New Roman"/>
          <w:color w:val="auto"/>
          <w:kern w:val="2"/>
          <w:sz w:val="32"/>
          <w:szCs w:val="32"/>
          <w:highlight w:val="none"/>
          <w:lang w:val="en-US" w:eastAsia="zh-CN" w:bidi="ar"/>
        </w:rPr>
        <w:t>8</w:t>
      </w:r>
      <w:r>
        <w:rPr>
          <w:rFonts w:hint="default" w:ascii="Times New Roman" w:hAnsi="Times New Roman" w:eastAsia="仿宋_GB2312" w:cs="Times New Roman"/>
          <w:color w:val="auto"/>
          <w:kern w:val="2"/>
          <w:sz w:val="32"/>
          <w:szCs w:val="32"/>
          <w:highlight w:val="none"/>
          <w:lang w:bidi="ar"/>
        </w:rPr>
        <w:t>月</w:t>
      </w:r>
      <w:r>
        <w:rPr>
          <w:rFonts w:hint="default" w:ascii="Times New Roman" w:hAnsi="Times New Roman" w:eastAsia="仿宋_GB2312" w:cs="Times New Roman"/>
          <w:color w:val="auto"/>
          <w:kern w:val="2"/>
          <w:sz w:val="32"/>
          <w:szCs w:val="32"/>
          <w:highlight w:val="none"/>
          <w:lang w:val="en-US" w:eastAsia="zh-CN" w:bidi="ar"/>
        </w:rPr>
        <w:t>底</w:t>
      </w:r>
      <w:r>
        <w:rPr>
          <w:rFonts w:hint="default" w:ascii="Times New Roman" w:hAnsi="Times New Roman" w:eastAsia="仿宋_GB2312" w:cs="Times New Roman"/>
          <w:color w:val="auto"/>
          <w:kern w:val="2"/>
          <w:sz w:val="32"/>
          <w:szCs w:val="32"/>
          <w:highlight w:val="none"/>
          <w:lang w:bidi="ar"/>
        </w:rPr>
        <w:t>为项目征集阶段，9月为初赛阶段，</w:t>
      </w:r>
      <w:r>
        <w:rPr>
          <w:rFonts w:hint="default" w:ascii="Times New Roman" w:hAnsi="Times New Roman" w:eastAsia="仿宋_GB2312" w:cs="Times New Roman"/>
          <w:color w:val="auto"/>
          <w:kern w:val="2"/>
          <w:sz w:val="32"/>
          <w:szCs w:val="32"/>
          <w:highlight w:val="none"/>
          <w:lang w:val="en-US" w:eastAsia="zh-CN" w:bidi="ar"/>
        </w:rPr>
        <w:t>11月为</w:t>
      </w:r>
      <w:r>
        <w:rPr>
          <w:rFonts w:hint="default" w:ascii="Times New Roman" w:hAnsi="Times New Roman" w:eastAsia="仿宋_GB2312" w:cs="Times New Roman"/>
          <w:color w:val="auto"/>
          <w:kern w:val="2"/>
          <w:sz w:val="32"/>
          <w:szCs w:val="32"/>
          <w:highlight w:val="none"/>
          <w:lang w:bidi="ar"/>
        </w:rPr>
        <w:t>决赛</w:t>
      </w:r>
      <w:r>
        <w:rPr>
          <w:rFonts w:hint="default" w:ascii="Times New Roman" w:hAnsi="Times New Roman" w:eastAsia="仿宋_GB2312" w:cs="Times New Roman"/>
          <w:color w:val="auto"/>
          <w:kern w:val="2"/>
          <w:sz w:val="32"/>
          <w:szCs w:val="32"/>
          <w:highlight w:val="none"/>
          <w:lang w:val="en-US" w:eastAsia="zh-CN" w:bidi="ar"/>
        </w:rPr>
        <w:t>阶段，12月为</w:t>
      </w:r>
      <w:r>
        <w:rPr>
          <w:rFonts w:hint="default" w:ascii="Times New Roman" w:hAnsi="Times New Roman" w:eastAsia="仿宋_GB2312" w:cs="Times New Roman"/>
          <w:color w:val="auto"/>
          <w:kern w:val="2"/>
          <w:sz w:val="32"/>
          <w:szCs w:val="32"/>
          <w:highlight w:val="none"/>
          <w:lang w:bidi="ar"/>
        </w:rPr>
        <w:t>颁奖阶段。</w:t>
      </w:r>
      <w:bookmarkStart w:id="9" w:name="pindex74"/>
      <w:bookmarkEnd w:id="9"/>
      <w:r>
        <w:rPr>
          <w:rFonts w:hint="default" w:ascii="Times New Roman" w:hAnsi="Times New Roman" w:eastAsia="仿宋_GB2312" w:cs="Times New Roman"/>
          <w:color w:val="auto"/>
          <w:kern w:val="2"/>
          <w:sz w:val="32"/>
          <w:szCs w:val="32"/>
          <w:highlight w:val="none"/>
          <w:lang w:eastAsia="zh-CN" w:bidi="ar"/>
        </w:rPr>
        <w:t>大赛启动后，将不定期组织</w:t>
      </w:r>
      <w:r>
        <w:rPr>
          <w:rFonts w:hint="default" w:ascii="Times New Roman" w:hAnsi="Times New Roman" w:eastAsia="仿宋_GB2312" w:cs="Times New Roman"/>
          <w:kern w:val="0"/>
          <w:sz w:val="32"/>
          <w:szCs w:val="32"/>
          <w:highlight w:val="none"/>
          <w:shd w:val="clear" w:color="auto" w:fill="auto"/>
          <w:lang w:val="en-US" w:eastAsia="zh-CN" w:bidi="ar"/>
        </w:rPr>
        <w:t>“以赛促引、以赛促投、以赛促用、以赛促培</w:t>
      </w:r>
      <w:r>
        <w:rPr>
          <w:rFonts w:hint="default" w:ascii="Times New Roman" w:hAnsi="Times New Roman" w:eastAsia="仿宋_GB2312" w:cs="Times New Roman"/>
          <w:color w:val="auto"/>
          <w:kern w:val="2"/>
          <w:sz w:val="32"/>
          <w:szCs w:val="32"/>
          <w:highlight w:val="none"/>
          <w:lang w:val="en-US" w:eastAsia="zh-CN" w:bidi="ar"/>
        </w:rPr>
        <w:t>”系列活动。</w:t>
      </w:r>
    </w:p>
    <w:p w14:paraId="3739E3A1">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（二）比赛地点</w:t>
      </w:r>
    </w:p>
    <w:p w14:paraId="42134937">
      <w:pPr>
        <w:autoSpaceDE/>
        <w:adjustRightInd w:val="0"/>
        <w:snapToGrid w:val="0"/>
        <w:spacing w:line="580" w:lineRule="exact"/>
        <w:ind w:firstLine="640" w:firstLineChars="200"/>
        <w:rPr>
          <w:rFonts w:hint="default" w:ascii="Times New Roman" w:hAnsi="Times New Roman" w:eastAsia="仿宋_GB2312" w:cs="Times New Roman"/>
          <w:color w:val="auto"/>
          <w:kern w:val="2"/>
          <w:sz w:val="32"/>
          <w:szCs w:val="32"/>
          <w:highlight w:val="none"/>
          <w:lang w:bidi="ar"/>
        </w:rPr>
      </w:pPr>
      <w:r>
        <w:rPr>
          <w:rFonts w:hint="default" w:ascii="Times New Roman" w:hAnsi="Times New Roman" w:eastAsia="仿宋_GB2312" w:cs="Times New Roman"/>
          <w:color w:val="auto"/>
          <w:kern w:val="2"/>
          <w:sz w:val="32"/>
          <w:szCs w:val="32"/>
          <w:highlight w:val="none"/>
          <w:lang w:val="en-US" w:eastAsia="zh-CN" w:bidi="ar"/>
        </w:rPr>
        <w:t>广东省潮州</w:t>
      </w:r>
      <w:r>
        <w:rPr>
          <w:rFonts w:hint="default" w:ascii="Times New Roman" w:hAnsi="Times New Roman" w:eastAsia="仿宋_GB2312" w:cs="Times New Roman"/>
          <w:color w:val="auto"/>
          <w:kern w:val="2"/>
          <w:sz w:val="32"/>
          <w:szCs w:val="32"/>
          <w:highlight w:val="none"/>
          <w:lang w:bidi="ar"/>
        </w:rPr>
        <w:t>市。</w:t>
      </w:r>
      <w:bookmarkStart w:id="10" w:name="pindex75"/>
      <w:bookmarkEnd w:id="10"/>
    </w:p>
    <w:p w14:paraId="71337FF0">
      <w:pPr>
        <w:adjustRightInd w:val="0"/>
        <w:snapToGrid w:val="0"/>
        <w:spacing w:line="58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zh-CN"/>
        </w:rPr>
        <w:t>四、参赛要求</w:t>
      </w:r>
      <w:bookmarkStart w:id="11" w:name="pindex76"/>
      <w:bookmarkEnd w:id="11"/>
    </w:p>
    <w:p w14:paraId="448D93EF">
      <w:pPr>
        <w:numPr>
          <w:ilvl w:val="0"/>
          <w:numId w:val="0"/>
        </w:numPr>
        <w:adjustRightInd w:val="0"/>
        <w:snapToGrid w:val="0"/>
        <w:spacing w:line="580" w:lineRule="exact"/>
        <w:ind w:firstLine="640" w:firstLineChars="200"/>
        <w:jc w:val="left"/>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（一）分组设置</w:t>
      </w:r>
      <w:bookmarkStart w:id="12" w:name="sys77844"/>
    </w:p>
    <w:bookmarkEnd w:id="12"/>
    <w:p w14:paraId="5ECB064C">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本届大赛设置专利组、商标组、地理标志组三大组别，其中专利组分为初创组、成长组和主办城市（潮州市）特色产业（智能卫浴）组，各组分别进行比赛</w:t>
      </w:r>
      <w:r>
        <w:rPr>
          <w:rFonts w:hint="default" w:ascii="Times New Roman" w:hAnsi="Times New Roman" w:eastAsia="仿宋_GB2312" w:cs="Times New Roman"/>
          <w:color w:val="auto"/>
          <w:kern w:val="2"/>
          <w:sz w:val="32"/>
          <w:szCs w:val="32"/>
          <w:highlight w:val="none"/>
          <w:lang w:val="en-US" w:eastAsia="zh-CN" w:bidi="ar"/>
        </w:rPr>
        <w:t>。</w:t>
      </w:r>
    </w:p>
    <w:p w14:paraId="70FCB833">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w:t>
      </w:r>
      <w:r>
        <w:rPr>
          <w:rFonts w:hint="default" w:ascii="Times New Roman" w:hAnsi="Times New Roman" w:eastAsia="楷体_GB2312" w:cs="Times New Roman"/>
          <w:kern w:val="0"/>
          <w:sz w:val="32"/>
          <w:szCs w:val="32"/>
          <w:highlight w:val="none"/>
          <w:lang w:val="en-US" w:eastAsia="zh-CN" w:bidi="ar"/>
        </w:rPr>
        <w:t>二</w:t>
      </w:r>
      <w:r>
        <w:rPr>
          <w:rFonts w:hint="default" w:ascii="Times New Roman" w:hAnsi="Times New Roman" w:eastAsia="楷体_GB2312" w:cs="Times New Roman"/>
          <w:kern w:val="0"/>
          <w:sz w:val="32"/>
          <w:szCs w:val="32"/>
          <w:highlight w:val="none"/>
          <w:lang w:bidi="ar"/>
        </w:rPr>
        <w:t>）参赛主体（团队）要求</w:t>
      </w:r>
    </w:p>
    <w:p w14:paraId="71459CDD">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bidi="ar"/>
        </w:rPr>
        <w:t>为吸引省内外创新成果到粤东西北地区落地转化，推动一批高价值专利在粤东西北地区实现产业化，在大赛</w:t>
      </w:r>
      <w:r>
        <w:rPr>
          <w:rFonts w:hint="default" w:ascii="Times New Roman" w:hAnsi="Times New Roman" w:eastAsia="仿宋_GB2312" w:cs="Times New Roman"/>
          <w:kern w:val="0"/>
          <w:sz w:val="32"/>
          <w:szCs w:val="32"/>
          <w:highlight w:val="none"/>
          <w:lang w:eastAsia="zh-CN" w:bidi="ar"/>
        </w:rPr>
        <w:t>启动后至</w:t>
      </w:r>
      <w:r>
        <w:rPr>
          <w:rFonts w:hint="default" w:ascii="Times New Roman" w:hAnsi="Times New Roman" w:eastAsia="仿宋_GB2312" w:cs="Times New Roman"/>
          <w:kern w:val="0"/>
          <w:sz w:val="32"/>
          <w:szCs w:val="32"/>
          <w:highlight w:val="none"/>
          <w:lang w:bidi="ar"/>
        </w:rPr>
        <w:t>项目征集结束前，</w:t>
      </w:r>
      <w:r>
        <w:rPr>
          <w:rFonts w:hint="default" w:ascii="Times New Roman" w:hAnsi="Times New Roman" w:eastAsia="仿宋_GB2312" w:cs="Times New Roman"/>
          <w:kern w:val="0"/>
          <w:sz w:val="32"/>
          <w:szCs w:val="32"/>
          <w:highlight w:val="none"/>
          <w:lang w:eastAsia="zh-CN" w:bidi="ar"/>
        </w:rPr>
        <w:t>凡</w:t>
      </w:r>
      <w:r>
        <w:rPr>
          <w:rFonts w:hint="default" w:ascii="Times New Roman" w:hAnsi="Times New Roman" w:eastAsia="仿宋_GB2312" w:cs="Times New Roman"/>
          <w:kern w:val="0"/>
          <w:sz w:val="32"/>
          <w:szCs w:val="32"/>
          <w:highlight w:val="none"/>
          <w:lang w:bidi="ar"/>
        </w:rPr>
        <w:t>已在粤东西北</w:t>
      </w:r>
      <w:r>
        <w:rPr>
          <w:rFonts w:hint="default" w:ascii="Times New Roman" w:hAnsi="Times New Roman" w:eastAsia="仿宋_GB2312" w:cs="Times New Roman"/>
          <w:kern w:val="0"/>
          <w:sz w:val="32"/>
          <w:szCs w:val="32"/>
          <w:highlight w:val="none"/>
          <w:lang w:eastAsia="zh-CN" w:bidi="ar"/>
        </w:rPr>
        <w:t>地区</w:t>
      </w:r>
      <w:r>
        <w:rPr>
          <w:rFonts w:hint="default" w:ascii="Times New Roman" w:hAnsi="Times New Roman" w:eastAsia="仿宋_GB2312" w:cs="Times New Roman"/>
          <w:kern w:val="0"/>
          <w:sz w:val="32"/>
          <w:szCs w:val="32"/>
          <w:highlight w:val="none"/>
          <w:lang w:bidi="ar"/>
        </w:rPr>
        <w:t>相关地市落地转化的项目或有意在粤东西北</w:t>
      </w:r>
      <w:r>
        <w:rPr>
          <w:rFonts w:hint="default" w:ascii="Times New Roman" w:hAnsi="Times New Roman" w:eastAsia="仿宋_GB2312" w:cs="Times New Roman"/>
          <w:kern w:val="0"/>
          <w:sz w:val="32"/>
          <w:szCs w:val="32"/>
          <w:highlight w:val="none"/>
          <w:lang w:eastAsia="zh-CN" w:bidi="ar"/>
        </w:rPr>
        <w:t>地区</w:t>
      </w:r>
      <w:r>
        <w:rPr>
          <w:rFonts w:hint="default" w:ascii="Times New Roman" w:hAnsi="Times New Roman" w:eastAsia="仿宋_GB2312" w:cs="Times New Roman"/>
          <w:kern w:val="0"/>
          <w:sz w:val="32"/>
          <w:szCs w:val="32"/>
          <w:highlight w:val="none"/>
          <w:lang w:bidi="ar"/>
        </w:rPr>
        <w:t>相关地市落地转化的项目，</w:t>
      </w:r>
      <w:r>
        <w:rPr>
          <w:rFonts w:hint="default" w:ascii="Times New Roman" w:hAnsi="Times New Roman" w:eastAsia="仿宋_GB2312" w:cs="Times New Roman"/>
          <w:kern w:val="0"/>
          <w:sz w:val="32"/>
          <w:szCs w:val="32"/>
          <w:highlight w:val="none"/>
          <w:lang w:eastAsia="zh-CN" w:bidi="ar"/>
        </w:rPr>
        <w:t>无论参赛主体是否在粤东西北地市，符合下列条件的，均可报名参赛</w:t>
      </w:r>
      <w:r>
        <w:rPr>
          <w:rFonts w:hint="default" w:ascii="Times New Roman" w:hAnsi="Times New Roman" w:eastAsia="仿宋_GB2312" w:cs="Times New Roman"/>
          <w:kern w:val="0"/>
          <w:sz w:val="32"/>
          <w:szCs w:val="32"/>
          <w:highlight w:val="none"/>
          <w:lang w:bidi="ar"/>
        </w:rPr>
        <w:t>。</w:t>
      </w:r>
    </w:p>
    <w:p w14:paraId="41762E3F">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eastAsia="zh-CN" w:bidi="ar"/>
        </w:rPr>
        <w:t>1</w:t>
      </w:r>
      <w:r>
        <w:rPr>
          <w:rFonts w:hint="default"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bidi="ar"/>
        </w:rPr>
        <w:t>专利</w:t>
      </w:r>
      <w:r>
        <w:rPr>
          <w:rFonts w:hint="default" w:ascii="Times New Roman" w:hAnsi="Times New Roman" w:eastAsia="仿宋_GB2312" w:cs="Times New Roman"/>
          <w:kern w:val="0"/>
          <w:sz w:val="32"/>
          <w:szCs w:val="32"/>
          <w:highlight w:val="none"/>
          <w:lang w:eastAsia="zh-CN" w:bidi="ar"/>
        </w:rPr>
        <w:t>组</w:t>
      </w:r>
      <w:r>
        <w:rPr>
          <w:rFonts w:hint="default" w:ascii="Times New Roman" w:hAnsi="Times New Roman" w:eastAsia="仿宋_GB2312" w:cs="Times New Roman"/>
          <w:kern w:val="0"/>
          <w:sz w:val="32"/>
          <w:szCs w:val="32"/>
          <w:highlight w:val="none"/>
          <w:lang w:bidi="ar"/>
        </w:rPr>
        <w:t>/商标组参赛主体为在国内注册的企业、高校、科研院所等</w:t>
      </w:r>
      <w:r>
        <w:rPr>
          <w:rFonts w:hint="default" w:ascii="Times New Roman" w:hAnsi="Times New Roman" w:eastAsia="仿宋_GB2312" w:cs="Times New Roman"/>
          <w:kern w:val="0"/>
          <w:sz w:val="32"/>
          <w:szCs w:val="32"/>
          <w:highlight w:val="none"/>
          <w:lang w:eastAsia="zh-CN" w:bidi="ar"/>
        </w:rPr>
        <w:t>创新主体。</w:t>
      </w:r>
    </w:p>
    <w:p w14:paraId="47C5CC0B">
      <w:pPr>
        <w:autoSpaceDE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eastAsia="zh-CN" w:bidi="ar"/>
        </w:rPr>
        <w:t>其中，在</w:t>
      </w:r>
      <w:r>
        <w:rPr>
          <w:rFonts w:hint="default" w:ascii="Times New Roman" w:hAnsi="Times New Roman" w:eastAsia="仿宋_GB2312" w:cs="Times New Roman"/>
          <w:kern w:val="0"/>
          <w:sz w:val="32"/>
          <w:szCs w:val="32"/>
          <w:highlight w:val="none"/>
          <w:lang w:bidi="ar"/>
        </w:rPr>
        <w:t>粤东西北</w:t>
      </w:r>
      <w:r>
        <w:rPr>
          <w:rFonts w:hint="default" w:ascii="Times New Roman" w:hAnsi="Times New Roman" w:eastAsia="仿宋_GB2312" w:cs="Times New Roman"/>
          <w:kern w:val="0"/>
          <w:sz w:val="32"/>
          <w:szCs w:val="32"/>
          <w:highlight w:val="none"/>
          <w:lang w:eastAsia="zh-CN" w:bidi="ar"/>
        </w:rPr>
        <w:t>地区</w:t>
      </w:r>
      <w:r>
        <w:rPr>
          <w:rFonts w:hint="default" w:ascii="Times New Roman" w:hAnsi="Times New Roman" w:eastAsia="仿宋_GB2312" w:cs="Times New Roman"/>
          <w:kern w:val="0"/>
          <w:sz w:val="32"/>
          <w:szCs w:val="32"/>
          <w:highlight w:val="none"/>
          <w:lang w:bidi="ar"/>
        </w:rPr>
        <w:t>相关地市注册的企业、高校、科研院所等</w:t>
      </w:r>
      <w:r>
        <w:rPr>
          <w:rFonts w:hint="default" w:ascii="Times New Roman" w:hAnsi="Times New Roman" w:eastAsia="仿宋_GB2312" w:cs="Times New Roman"/>
          <w:kern w:val="0"/>
          <w:sz w:val="32"/>
          <w:szCs w:val="32"/>
          <w:highlight w:val="none"/>
          <w:lang w:eastAsia="zh-CN" w:bidi="ar"/>
        </w:rPr>
        <w:t>创新主体，可独立或联合报名参赛；</w:t>
      </w:r>
      <w:r>
        <w:rPr>
          <w:rFonts w:hint="default" w:ascii="Times New Roman" w:hAnsi="Times New Roman" w:eastAsia="仿宋_GB2312" w:cs="Times New Roman"/>
          <w:snapToGrid w:val="0"/>
          <w:kern w:val="0"/>
          <w:sz w:val="32"/>
          <w:szCs w:val="32"/>
          <w:highlight w:val="none"/>
          <w:lang w:val="en-US" w:eastAsia="zh-CN" w:bidi="ar"/>
        </w:rPr>
        <w:t>已经在</w:t>
      </w:r>
      <w:r>
        <w:rPr>
          <w:rFonts w:hint="default" w:ascii="Times New Roman" w:hAnsi="Times New Roman" w:eastAsia="仿宋_GB2312" w:cs="Times New Roman"/>
          <w:kern w:val="0"/>
          <w:sz w:val="32"/>
          <w:szCs w:val="32"/>
          <w:highlight w:val="none"/>
          <w:lang w:bidi="ar"/>
        </w:rPr>
        <w:t>粤东西北</w:t>
      </w:r>
      <w:r>
        <w:rPr>
          <w:rFonts w:hint="default" w:ascii="Times New Roman" w:hAnsi="Times New Roman" w:eastAsia="仿宋_GB2312" w:cs="Times New Roman"/>
          <w:kern w:val="0"/>
          <w:sz w:val="32"/>
          <w:szCs w:val="32"/>
          <w:highlight w:val="none"/>
          <w:lang w:eastAsia="zh-CN" w:bidi="ar"/>
        </w:rPr>
        <w:t>地区</w:t>
      </w:r>
      <w:r>
        <w:rPr>
          <w:rFonts w:hint="default" w:ascii="Times New Roman" w:hAnsi="Times New Roman" w:eastAsia="仿宋_GB2312" w:cs="Times New Roman"/>
          <w:kern w:val="0"/>
          <w:sz w:val="32"/>
          <w:szCs w:val="32"/>
          <w:highlight w:val="none"/>
          <w:lang w:bidi="ar"/>
        </w:rPr>
        <w:t>相关地市</w:t>
      </w:r>
      <w:r>
        <w:rPr>
          <w:rFonts w:hint="default" w:ascii="Times New Roman" w:hAnsi="Times New Roman" w:eastAsia="仿宋_GB2312" w:cs="Times New Roman"/>
          <w:snapToGrid w:val="0"/>
          <w:kern w:val="0"/>
          <w:sz w:val="32"/>
          <w:szCs w:val="32"/>
          <w:highlight w:val="none"/>
          <w:lang w:val="en-US" w:eastAsia="zh-CN" w:bidi="ar"/>
        </w:rPr>
        <w:t>实施成果落地转化的外市创新主体，</w:t>
      </w:r>
      <w:r>
        <w:rPr>
          <w:rFonts w:hint="default" w:ascii="Times New Roman" w:hAnsi="Times New Roman" w:eastAsia="仿宋_GB2312" w:cs="Times New Roman"/>
          <w:kern w:val="0"/>
          <w:sz w:val="32"/>
          <w:szCs w:val="32"/>
          <w:highlight w:val="none"/>
          <w:lang w:eastAsia="zh-CN" w:bidi="ar"/>
        </w:rPr>
        <w:t>可独立或与粤东西北相关地市</w:t>
      </w:r>
      <w:r>
        <w:rPr>
          <w:rFonts w:hint="default" w:ascii="Times New Roman" w:hAnsi="Times New Roman" w:eastAsia="仿宋_GB2312" w:cs="Times New Roman"/>
          <w:kern w:val="0"/>
          <w:sz w:val="32"/>
          <w:szCs w:val="32"/>
          <w:highlight w:val="none"/>
          <w:lang w:bidi="ar"/>
        </w:rPr>
        <w:t>合作主体联合报名参赛</w:t>
      </w:r>
      <w:r>
        <w:rPr>
          <w:rFonts w:hint="default" w:ascii="Times New Roman" w:hAnsi="Times New Roman" w:eastAsia="仿宋_GB2312" w:cs="Times New Roman"/>
          <w:kern w:val="0"/>
          <w:sz w:val="32"/>
          <w:szCs w:val="32"/>
          <w:highlight w:val="none"/>
          <w:lang w:eastAsia="zh-CN" w:bidi="ar"/>
        </w:rPr>
        <w:t>，独立参赛时，须提供能够证明创新</w:t>
      </w:r>
      <w:r>
        <w:rPr>
          <w:rFonts w:hint="default" w:ascii="Times New Roman" w:hAnsi="Times New Roman" w:eastAsia="仿宋_GB2312" w:cs="Times New Roman"/>
          <w:snapToGrid w:val="0"/>
          <w:kern w:val="0"/>
          <w:sz w:val="32"/>
          <w:szCs w:val="32"/>
          <w:highlight w:val="none"/>
          <w:lang w:val="en-US" w:eastAsia="zh-CN" w:bidi="ar"/>
        </w:rPr>
        <w:t>成果已经在</w:t>
      </w:r>
      <w:r>
        <w:rPr>
          <w:rFonts w:hint="default" w:ascii="Times New Roman" w:hAnsi="Times New Roman" w:eastAsia="仿宋_GB2312" w:cs="Times New Roman"/>
          <w:kern w:val="0"/>
          <w:sz w:val="32"/>
          <w:szCs w:val="32"/>
          <w:highlight w:val="none"/>
          <w:lang w:bidi="ar"/>
        </w:rPr>
        <w:t>粤东西北</w:t>
      </w:r>
      <w:r>
        <w:rPr>
          <w:rFonts w:hint="default" w:ascii="Times New Roman" w:hAnsi="Times New Roman" w:eastAsia="仿宋_GB2312" w:cs="Times New Roman"/>
          <w:kern w:val="0"/>
          <w:sz w:val="32"/>
          <w:szCs w:val="32"/>
          <w:highlight w:val="none"/>
          <w:lang w:eastAsia="zh-CN" w:bidi="ar"/>
        </w:rPr>
        <w:t>地区</w:t>
      </w:r>
      <w:r>
        <w:rPr>
          <w:rFonts w:hint="default" w:ascii="Times New Roman" w:hAnsi="Times New Roman" w:eastAsia="仿宋_GB2312" w:cs="Times New Roman"/>
          <w:kern w:val="0"/>
          <w:sz w:val="32"/>
          <w:szCs w:val="32"/>
          <w:highlight w:val="none"/>
          <w:lang w:bidi="ar"/>
        </w:rPr>
        <w:t>相关地市</w:t>
      </w:r>
      <w:r>
        <w:rPr>
          <w:rFonts w:hint="default" w:ascii="Times New Roman" w:hAnsi="Times New Roman" w:eastAsia="仿宋_GB2312" w:cs="Times New Roman"/>
          <w:snapToGrid w:val="0"/>
          <w:kern w:val="0"/>
          <w:sz w:val="32"/>
          <w:szCs w:val="32"/>
          <w:highlight w:val="none"/>
          <w:lang w:val="en-US" w:eastAsia="zh-CN" w:bidi="ar"/>
        </w:rPr>
        <w:t>落地转化的必要材料。</w:t>
      </w:r>
    </w:p>
    <w:p w14:paraId="152E6312">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2.为激励主办城市赛事组织积极性，促进主办城市特色产业发展，专设主办城市特色产业专利组。本届赛事</w:t>
      </w:r>
      <w:r>
        <w:rPr>
          <w:rFonts w:hint="default" w:ascii="Times New Roman" w:hAnsi="Times New Roman" w:eastAsia="仿宋_GB2312" w:cs="Times New Roman"/>
          <w:snapToGrid w:val="0"/>
          <w:kern w:val="0"/>
          <w:sz w:val="32"/>
          <w:szCs w:val="32"/>
          <w:highlight w:val="none"/>
          <w:lang w:val="en-US" w:eastAsia="zh-CN" w:bidi="ar"/>
        </w:rPr>
        <w:t>设置潮州智能卫浴产业专利组。参赛主体为</w:t>
      </w:r>
      <w:r>
        <w:rPr>
          <w:rFonts w:hint="default" w:ascii="Times New Roman" w:hAnsi="Times New Roman" w:eastAsia="仿宋_GB2312" w:cs="Times New Roman"/>
          <w:kern w:val="0"/>
          <w:sz w:val="32"/>
          <w:szCs w:val="32"/>
          <w:highlight w:val="none"/>
          <w:lang w:bidi="ar"/>
        </w:rPr>
        <w:t>在国内注册的企业、高校、科研院所等</w:t>
      </w:r>
      <w:r>
        <w:rPr>
          <w:rFonts w:hint="default" w:ascii="Times New Roman" w:hAnsi="Times New Roman" w:eastAsia="仿宋_GB2312" w:cs="Times New Roman"/>
          <w:kern w:val="0"/>
          <w:sz w:val="32"/>
          <w:szCs w:val="32"/>
          <w:highlight w:val="none"/>
          <w:lang w:eastAsia="zh-CN" w:bidi="ar"/>
        </w:rPr>
        <w:t>创新主体。</w:t>
      </w:r>
    </w:p>
    <w:p w14:paraId="5FB4722A">
      <w:pPr>
        <w:widowControl/>
        <w:autoSpaceDE/>
        <w:adjustRightInd w:val="0"/>
        <w:snapToGrid w:val="0"/>
        <w:spacing w:line="580" w:lineRule="exact"/>
        <w:ind w:firstLine="640" w:firstLineChars="200"/>
        <w:jc w:val="left"/>
        <w:rPr>
          <w:rFonts w:hint="default" w:ascii="Times New Roman" w:hAnsi="Times New Roman" w:eastAsia="仿宋_GB2312" w:cs="Times New Roman"/>
          <w:snapToGrid w:val="0"/>
          <w:kern w:val="0"/>
          <w:sz w:val="32"/>
          <w:szCs w:val="32"/>
          <w:highlight w:val="none"/>
          <w:lang w:val="en-US" w:eastAsia="zh-CN" w:bidi="ar"/>
        </w:rPr>
      </w:pPr>
      <w:r>
        <w:rPr>
          <w:rFonts w:hint="default" w:ascii="Times New Roman" w:hAnsi="Times New Roman" w:eastAsia="仿宋_GB2312" w:cs="Times New Roman"/>
          <w:snapToGrid w:val="0"/>
          <w:kern w:val="0"/>
          <w:sz w:val="32"/>
          <w:szCs w:val="32"/>
          <w:highlight w:val="none"/>
          <w:lang w:val="en-US" w:eastAsia="zh-CN" w:bidi="ar"/>
        </w:rPr>
        <w:t>其中，在潮州市内注册的企业、高等院校、科研院所等创新主体，</w:t>
      </w:r>
      <w:r>
        <w:rPr>
          <w:rFonts w:hint="default" w:ascii="Times New Roman" w:hAnsi="Times New Roman" w:eastAsia="仿宋_GB2312" w:cs="Times New Roman"/>
          <w:kern w:val="0"/>
          <w:sz w:val="32"/>
          <w:szCs w:val="32"/>
          <w:highlight w:val="none"/>
          <w:lang w:eastAsia="zh-CN" w:bidi="ar"/>
        </w:rPr>
        <w:t>可独立或联合报名参赛；</w:t>
      </w:r>
      <w:r>
        <w:rPr>
          <w:rFonts w:hint="default" w:ascii="Times New Roman" w:hAnsi="Times New Roman" w:eastAsia="仿宋_GB2312" w:cs="Times New Roman"/>
          <w:snapToGrid w:val="0"/>
          <w:kern w:val="0"/>
          <w:sz w:val="32"/>
          <w:szCs w:val="32"/>
          <w:highlight w:val="none"/>
          <w:lang w:val="en-US" w:eastAsia="zh-CN" w:bidi="ar"/>
        </w:rPr>
        <w:t>已经在潮州市实施成果落地转化的外市创新主体，</w:t>
      </w:r>
      <w:r>
        <w:rPr>
          <w:rFonts w:hint="default" w:ascii="Times New Roman" w:hAnsi="Times New Roman" w:eastAsia="仿宋_GB2312" w:cs="Times New Roman"/>
          <w:kern w:val="0"/>
          <w:sz w:val="32"/>
          <w:szCs w:val="32"/>
          <w:highlight w:val="none"/>
          <w:lang w:eastAsia="zh-CN" w:bidi="ar"/>
        </w:rPr>
        <w:t>可独立或与潮州市</w:t>
      </w:r>
      <w:r>
        <w:rPr>
          <w:rFonts w:hint="default" w:ascii="Times New Roman" w:hAnsi="Times New Roman" w:eastAsia="仿宋_GB2312" w:cs="Times New Roman"/>
          <w:kern w:val="0"/>
          <w:sz w:val="32"/>
          <w:szCs w:val="32"/>
          <w:highlight w:val="none"/>
          <w:lang w:bidi="ar"/>
        </w:rPr>
        <w:t>合作主体联合报名参赛</w:t>
      </w:r>
      <w:r>
        <w:rPr>
          <w:rFonts w:hint="default" w:ascii="Times New Roman" w:hAnsi="Times New Roman" w:eastAsia="仿宋_GB2312" w:cs="Times New Roman"/>
          <w:kern w:val="0"/>
          <w:sz w:val="32"/>
          <w:szCs w:val="32"/>
          <w:highlight w:val="none"/>
          <w:lang w:eastAsia="zh-CN" w:bidi="ar"/>
        </w:rPr>
        <w:t>，独立参赛时，须提供能够证明创新</w:t>
      </w:r>
      <w:r>
        <w:rPr>
          <w:rFonts w:hint="default" w:ascii="Times New Roman" w:hAnsi="Times New Roman" w:eastAsia="仿宋_GB2312" w:cs="Times New Roman"/>
          <w:snapToGrid w:val="0"/>
          <w:kern w:val="0"/>
          <w:sz w:val="32"/>
          <w:szCs w:val="32"/>
          <w:highlight w:val="none"/>
          <w:lang w:val="en-US" w:eastAsia="zh-CN" w:bidi="ar"/>
        </w:rPr>
        <w:t>成果已经在</w:t>
      </w:r>
      <w:r>
        <w:rPr>
          <w:rFonts w:hint="default" w:ascii="Times New Roman" w:hAnsi="Times New Roman" w:eastAsia="仿宋_GB2312" w:cs="Times New Roman"/>
          <w:kern w:val="0"/>
          <w:sz w:val="32"/>
          <w:szCs w:val="32"/>
          <w:highlight w:val="none"/>
          <w:lang w:eastAsia="zh-CN" w:bidi="ar"/>
        </w:rPr>
        <w:t>潮州</w:t>
      </w:r>
      <w:r>
        <w:rPr>
          <w:rFonts w:hint="default" w:ascii="Times New Roman" w:hAnsi="Times New Roman" w:eastAsia="仿宋_GB2312" w:cs="Times New Roman"/>
          <w:kern w:val="0"/>
          <w:sz w:val="32"/>
          <w:szCs w:val="32"/>
          <w:highlight w:val="none"/>
          <w:lang w:bidi="ar"/>
        </w:rPr>
        <w:t>市</w:t>
      </w:r>
      <w:r>
        <w:rPr>
          <w:rFonts w:hint="default" w:ascii="Times New Roman" w:hAnsi="Times New Roman" w:eastAsia="仿宋_GB2312" w:cs="Times New Roman"/>
          <w:snapToGrid w:val="0"/>
          <w:kern w:val="0"/>
          <w:sz w:val="32"/>
          <w:szCs w:val="32"/>
          <w:highlight w:val="none"/>
          <w:lang w:val="en-US" w:eastAsia="zh-CN" w:bidi="ar"/>
        </w:rPr>
        <w:t>落地转化的必要材料。</w:t>
      </w:r>
    </w:p>
    <w:p w14:paraId="68BFBF7B">
      <w:pPr>
        <w:widowControl/>
        <w:autoSpaceDE/>
        <w:adjustRightInd w:val="0"/>
        <w:snapToGrid w:val="0"/>
        <w:spacing w:line="580" w:lineRule="exact"/>
        <w:ind w:firstLine="640" w:firstLineChars="200"/>
        <w:jc w:val="both"/>
        <w:rPr>
          <w:rFonts w:hint="default" w:ascii="Times New Roman" w:hAnsi="Times New Roman" w:eastAsia="仿宋_GB2312" w:cs="Times New Roman"/>
          <w:snapToGrid w:val="0"/>
          <w:kern w:val="0"/>
          <w:sz w:val="32"/>
          <w:szCs w:val="32"/>
          <w:highlight w:val="none"/>
          <w:lang w:eastAsia="zh-CN" w:bidi="ar"/>
        </w:rPr>
      </w:pPr>
      <w:r>
        <w:rPr>
          <w:rFonts w:hint="default" w:ascii="Times New Roman" w:hAnsi="Times New Roman" w:eastAsia="仿宋_GB2312" w:cs="Times New Roman"/>
          <w:snapToGrid w:val="0"/>
          <w:kern w:val="0"/>
          <w:sz w:val="32"/>
          <w:szCs w:val="32"/>
          <w:highlight w:val="none"/>
          <w:lang w:val="en-US" w:eastAsia="zh-CN" w:bidi="ar"/>
        </w:rPr>
        <w:t>3.</w:t>
      </w:r>
      <w:r>
        <w:rPr>
          <w:rFonts w:hint="default" w:ascii="Times New Roman" w:hAnsi="Times New Roman" w:eastAsia="仿宋_GB2312" w:cs="Times New Roman"/>
          <w:snapToGrid w:val="0"/>
          <w:kern w:val="0"/>
          <w:sz w:val="32"/>
          <w:szCs w:val="32"/>
          <w:highlight w:val="none"/>
          <w:lang w:eastAsia="zh-CN" w:bidi="ar"/>
        </w:rPr>
        <w:t>地理标志组参赛主体须为</w:t>
      </w:r>
      <w:r>
        <w:rPr>
          <w:rFonts w:hint="default" w:ascii="Times New Roman" w:hAnsi="Times New Roman" w:eastAsia="仿宋_GB2312" w:cs="Times New Roman"/>
          <w:snapToGrid w:val="0"/>
          <w:kern w:val="0"/>
          <w:sz w:val="32"/>
          <w:szCs w:val="32"/>
          <w:highlight w:val="none"/>
          <w:lang w:bidi="ar"/>
        </w:rPr>
        <w:t>在</w:t>
      </w:r>
      <w:r>
        <w:rPr>
          <w:rFonts w:hint="default" w:ascii="Times New Roman" w:hAnsi="Times New Roman" w:eastAsia="仿宋_GB2312" w:cs="Times New Roman"/>
          <w:snapToGrid w:val="0"/>
          <w:kern w:val="0"/>
          <w:sz w:val="32"/>
          <w:szCs w:val="32"/>
          <w:highlight w:val="none"/>
          <w:lang w:eastAsia="zh-CN" w:bidi="ar"/>
        </w:rPr>
        <w:t>粤东西北地区</w:t>
      </w:r>
      <w:r>
        <w:rPr>
          <w:rFonts w:hint="default" w:ascii="Times New Roman" w:hAnsi="Times New Roman" w:eastAsia="仿宋_GB2312" w:cs="Times New Roman"/>
          <w:snapToGrid w:val="0"/>
          <w:kern w:val="0"/>
          <w:sz w:val="32"/>
          <w:szCs w:val="32"/>
          <w:highlight w:val="none"/>
          <w:lang w:bidi="ar"/>
        </w:rPr>
        <w:t>注册的</w:t>
      </w:r>
      <w:r>
        <w:rPr>
          <w:rFonts w:hint="default" w:ascii="Times New Roman" w:hAnsi="Times New Roman" w:eastAsia="仿宋_GB2312" w:cs="Times New Roman"/>
          <w:snapToGrid w:val="0"/>
          <w:kern w:val="0"/>
          <w:sz w:val="32"/>
          <w:szCs w:val="32"/>
          <w:highlight w:val="none"/>
          <w:lang w:eastAsia="zh-CN" w:bidi="ar"/>
        </w:rPr>
        <w:t>相关</w:t>
      </w:r>
      <w:r>
        <w:rPr>
          <w:rFonts w:hint="default" w:ascii="Times New Roman" w:hAnsi="Times New Roman" w:eastAsia="仿宋_GB2312" w:cs="Times New Roman"/>
          <w:snapToGrid w:val="0"/>
          <w:kern w:val="0"/>
          <w:sz w:val="32"/>
          <w:szCs w:val="32"/>
          <w:highlight w:val="none"/>
          <w:lang w:val="en-US" w:eastAsia="zh-CN" w:bidi="ar"/>
        </w:rPr>
        <w:t>经营</w:t>
      </w:r>
      <w:r>
        <w:rPr>
          <w:rFonts w:hint="default" w:ascii="Times New Roman" w:hAnsi="Times New Roman" w:eastAsia="仿宋_GB2312" w:cs="Times New Roman"/>
          <w:snapToGrid w:val="0"/>
          <w:kern w:val="0"/>
          <w:sz w:val="32"/>
          <w:szCs w:val="32"/>
          <w:highlight w:val="none"/>
          <w:lang w:eastAsia="zh-CN" w:bidi="ar"/>
        </w:rPr>
        <w:t>主体。</w:t>
      </w:r>
    </w:p>
    <w:p w14:paraId="4C350D03">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bidi="ar"/>
        </w:rPr>
        <w:t>专利</w:t>
      </w:r>
      <w:r>
        <w:rPr>
          <w:rFonts w:hint="default" w:ascii="Times New Roman" w:hAnsi="Times New Roman" w:eastAsia="仿宋_GB2312" w:cs="Times New Roman"/>
          <w:kern w:val="0"/>
          <w:sz w:val="32"/>
          <w:szCs w:val="32"/>
          <w:highlight w:val="none"/>
          <w:lang w:eastAsia="zh-CN" w:bidi="ar"/>
        </w:rPr>
        <w:t>组</w:t>
      </w:r>
      <w:r>
        <w:rPr>
          <w:rFonts w:hint="default" w:ascii="Times New Roman" w:hAnsi="Times New Roman" w:eastAsia="仿宋_GB2312" w:cs="Times New Roman"/>
          <w:kern w:val="0"/>
          <w:sz w:val="32"/>
          <w:szCs w:val="32"/>
          <w:highlight w:val="none"/>
          <w:lang w:bidi="ar"/>
        </w:rPr>
        <w:t>/商标组参赛主体应为参赛项目相关专利</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商标权利人（企业、高校、科研院所等），或由权利人与知识产权服务机构等联合组队参赛；地理标志组参赛主体为参赛项目的地理标志专用标志合法使用人。知识产权服务机构不可独立作为参赛主体参赛。</w:t>
      </w:r>
    </w:p>
    <w:p w14:paraId="14B450E0">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bidi="ar"/>
        </w:rPr>
        <w:t>参赛项目牵头主体必须为项目核心专利/商标权利人（之一）。如果参赛主体为核心专利/商标的多个权利人之一的，且其他权利人不联合参赛，参赛事项应获得其他权利人的书面同意。</w:t>
      </w:r>
    </w:p>
    <w:p w14:paraId="78839B74">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bidi="ar"/>
        </w:rPr>
        <w:t>参赛团队成员可包括参赛主体在册员工和服务机构在册员工。一经报名，参赛团队中的服务机构成员不可变更，参赛主体成员若发生变更，应经执委会同意并在网络公示后更换。大赛中上场答辩或路演的人员，必须是已报名的参赛团队成员。</w:t>
      </w:r>
    </w:p>
    <w:p w14:paraId="33F5B8F3">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7.</w:t>
      </w:r>
      <w:r>
        <w:rPr>
          <w:rFonts w:hint="default" w:ascii="Times New Roman" w:hAnsi="Times New Roman" w:eastAsia="仿宋_GB2312" w:cs="Times New Roman"/>
          <w:kern w:val="0"/>
          <w:sz w:val="32"/>
          <w:szCs w:val="32"/>
          <w:highlight w:val="none"/>
          <w:lang w:bidi="ar"/>
        </w:rPr>
        <w:t>知识产权服务机构参加联合参赛项目实行回避制度，同一个服务机构不能派员同时参加比赛和参与大赛指导、评审、仲裁等工作。</w:t>
      </w:r>
    </w:p>
    <w:p w14:paraId="55424EF1">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8.</w:t>
      </w:r>
      <w:r>
        <w:rPr>
          <w:rFonts w:hint="default" w:ascii="Times New Roman" w:hAnsi="Times New Roman" w:eastAsia="仿宋_GB2312" w:cs="Times New Roman"/>
          <w:kern w:val="0"/>
          <w:sz w:val="32"/>
          <w:szCs w:val="32"/>
          <w:highlight w:val="none"/>
          <w:lang w:bidi="ar"/>
        </w:rPr>
        <w:t>参赛主体应</w:t>
      </w:r>
      <w:r>
        <w:rPr>
          <w:rFonts w:hint="default" w:ascii="Times New Roman" w:hAnsi="Times New Roman" w:eastAsia="仿宋_GB2312" w:cs="Times New Roman"/>
          <w:kern w:val="0"/>
          <w:sz w:val="32"/>
          <w:szCs w:val="32"/>
          <w:highlight w:val="none"/>
          <w:lang w:eastAsia="zh" w:bidi="ar"/>
        </w:rPr>
        <w:t>具有良好</w:t>
      </w:r>
      <w:r>
        <w:rPr>
          <w:rFonts w:hint="default" w:ascii="Times New Roman" w:hAnsi="Times New Roman" w:eastAsia="仿宋_GB2312" w:cs="Times New Roman"/>
          <w:kern w:val="0"/>
          <w:sz w:val="32"/>
          <w:szCs w:val="32"/>
          <w:highlight w:val="none"/>
          <w:lang w:bidi="ar"/>
        </w:rPr>
        <w:t>社会形象，无违法、违规和严重失信行为等不良记录。参赛主体</w:t>
      </w:r>
      <w:r>
        <w:rPr>
          <w:rFonts w:hint="default" w:ascii="Times New Roman" w:hAnsi="Times New Roman" w:eastAsia="仿宋_GB2312" w:cs="Times New Roman"/>
          <w:kern w:val="0"/>
          <w:sz w:val="32"/>
          <w:szCs w:val="32"/>
          <w:highlight w:val="none"/>
          <w:lang w:eastAsia="zh-CN" w:bidi="ar"/>
        </w:rPr>
        <w:t>（含项目主要负责人）</w:t>
      </w:r>
      <w:r>
        <w:rPr>
          <w:rFonts w:hint="default" w:ascii="Times New Roman" w:hAnsi="Times New Roman" w:eastAsia="仿宋_GB2312" w:cs="Times New Roman"/>
          <w:kern w:val="0"/>
          <w:sz w:val="32"/>
          <w:szCs w:val="32"/>
          <w:highlight w:val="none"/>
          <w:lang w:bidi="ar"/>
        </w:rPr>
        <w:t>如被列入“信用中国”网站“严重失信主体名单”，或一年内因产品质量安全等问题受到行政处罚而影响品牌声誉的，将采取“一票否决制”，直接取消其参赛资格。</w:t>
      </w:r>
    </w:p>
    <w:p w14:paraId="7D0EB2B7">
      <w:pPr>
        <w:widowControl/>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w:t>
      </w:r>
      <w:r>
        <w:rPr>
          <w:rFonts w:hint="default" w:ascii="Times New Roman" w:hAnsi="Times New Roman" w:eastAsia="楷体_GB2312" w:cs="Times New Roman"/>
          <w:kern w:val="0"/>
          <w:sz w:val="32"/>
          <w:szCs w:val="32"/>
          <w:highlight w:val="none"/>
          <w:lang w:val="en-US" w:eastAsia="zh-CN" w:bidi="ar"/>
        </w:rPr>
        <w:t>三</w:t>
      </w:r>
      <w:r>
        <w:rPr>
          <w:rFonts w:hint="default" w:ascii="Times New Roman" w:hAnsi="Times New Roman" w:eastAsia="楷体_GB2312" w:cs="Times New Roman"/>
          <w:kern w:val="0"/>
          <w:sz w:val="32"/>
          <w:szCs w:val="32"/>
          <w:highlight w:val="none"/>
          <w:lang w:bidi="ar"/>
        </w:rPr>
        <w:t>）参赛项目要求</w:t>
      </w:r>
    </w:p>
    <w:p w14:paraId="3C3878CC">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bookmarkStart w:id="13" w:name="sys79036"/>
      <w:r>
        <w:rPr>
          <w:rFonts w:hint="default" w:ascii="Times New Roman" w:hAnsi="Times New Roman" w:eastAsia="仿宋_GB2312" w:cs="Times New Roman"/>
          <w:kern w:val="0"/>
          <w:sz w:val="32"/>
          <w:szCs w:val="32"/>
          <w:highlight w:val="none"/>
          <w:lang w:bidi="ar"/>
        </w:rPr>
        <w:t>1.专利组参赛项目要求</w:t>
      </w:r>
      <w:r>
        <w:rPr>
          <w:rFonts w:hint="default" w:ascii="Times New Roman" w:hAnsi="Times New Roman" w:eastAsia="仿宋_GB2312" w:cs="Times New Roman"/>
          <w:kern w:val="0"/>
          <w:sz w:val="32"/>
          <w:szCs w:val="32"/>
          <w:highlight w:val="none"/>
          <w:lang w:eastAsia="zh-CN" w:bidi="ar"/>
        </w:rPr>
        <w:t>。</w:t>
      </w:r>
      <w:bookmarkEnd w:id="13"/>
      <w:r>
        <w:rPr>
          <w:rFonts w:hint="default" w:ascii="Times New Roman" w:hAnsi="Times New Roman" w:eastAsia="仿宋_GB2312" w:cs="Times New Roman"/>
          <w:kern w:val="0"/>
          <w:sz w:val="32"/>
          <w:szCs w:val="32"/>
          <w:highlight w:val="none"/>
          <w:lang w:bidi="ar"/>
        </w:rPr>
        <w:t>专利组分为初创组、成长组</w:t>
      </w:r>
      <w:r>
        <w:rPr>
          <w:rFonts w:hint="default" w:ascii="Times New Roman" w:hAnsi="Times New Roman" w:eastAsia="仿宋_GB2312" w:cs="Times New Roman"/>
          <w:kern w:val="0"/>
          <w:sz w:val="32"/>
          <w:szCs w:val="32"/>
          <w:highlight w:val="none"/>
          <w:lang w:val="en-US" w:eastAsia="zh-CN" w:bidi="ar"/>
        </w:rPr>
        <w:t>和潮州特色产业组（智能卫浴</w:t>
      </w:r>
      <w:r>
        <w:rPr>
          <w:rFonts w:hint="eastAsia" w:ascii="Times New Roman" w:hAnsi="Times New Roman" w:eastAsia="仿宋_GB2312" w:cs="Times New Roman"/>
          <w:kern w:val="0"/>
          <w:sz w:val="32"/>
          <w:szCs w:val="32"/>
          <w:highlight w:val="none"/>
          <w:lang w:val="en-US" w:eastAsia="zh-CN" w:bidi="ar"/>
        </w:rPr>
        <w:t>产业</w:t>
      </w:r>
      <w:r>
        <w:rPr>
          <w:rFonts w:hint="default" w:ascii="Times New Roman" w:hAnsi="Times New Roman" w:eastAsia="仿宋_GB2312" w:cs="Times New Roman"/>
          <w:kern w:val="0"/>
          <w:sz w:val="32"/>
          <w:szCs w:val="32"/>
          <w:highlight w:val="none"/>
          <w:lang w:val="en-US" w:eastAsia="zh-CN" w:bidi="ar"/>
        </w:rPr>
        <w:t>）三</w:t>
      </w:r>
      <w:r>
        <w:rPr>
          <w:rFonts w:hint="default" w:ascii="Times New Roman" w:hAnsi="Times New Roman" w:eastAsia="仿宋_GB2312" w:cs="Times New Roman"/>
          <w:kern w:val="0"/>
          <w:sz w:val="32"/>
          <w:szCs w:val="32"/>
          <w:highlight w:val="none"/>
          <w:lang w:eastAsia="zh" w:bidi="ar"/>
        </w:rPr>
        <w:t>个</w:t>
      </w:r>
      <w:r>
        <w:rPr>
          <w:rFonts w:hint="default" w:ascii="Times New Roman" w:hAnsi="Times New Roman" w:eastAsia="仿宋_GB2312" w:cs="Times New Roman"/>
          <w:kern w:val="0"/>
          <w:sz w:val="32"/>
          <w:szCs w:val="32"/>
          <w:highlight w:val="none"/>
          <w:lang w:bidi="ar"/>
        </w:rPr>
        <w:t>组别。初创组是指已有转化意愿，</w:t>
      </w:r>
      <w:r>
        <w:rPr>
          <w:rFonts w:hint="default" w:ascii="Times New Roman" w:hAnsi="Times New Roman" w:eastAsia="仿宋_GB2312" w:cs="Times New Roman"/>
          <w:kern w:val="0"/>
          <w:sz w:val="32"/>
          <w:szCs w:val="32"/>
          <w:highlight w:val="none"/>
          <w:lang w:val="en-US" w:eastAsia="zh-CN" w:bidi="ar"/>
        </w:rPr>
        <w:t>但专利处于试用阶段尚未投产，或已投产但只</w:t>
      </w:r>
      <w:r>
        <w:rPr>
          <w:rFonts w:hint="default" w:ascii="Times New Roman" w:hAnsi="Times New Roman" w:eastAsia="仿宋_GB2312" w:cs="Times New Roman"/>
          <w:kern w:val="0"/>
          <w:sz w:val="32"/>
          <w:szCs w:val="32"/>
          <w:highlight w:val="none"/>
          <w:lang w:bidi="ar"/>
        </w:rPr>
        <w:t>具有较小转化收益的项目；成长组是指已经</w:t>
      </w:r>
      <w:r>
        <w:rPr>
          <w:rFonts w:hint="default" w:ascii="Times New Roman" w:hAnsi="Times New Roman" w:eastAsia="仿宋_GB2312" w:cs="Times New Roman"/>
          <w:kern w:val="0"/>
          <w:sz w:val="32"/>
          <w:szCs w:val="32"/>
          <w:highlight w:val="none"/>
          <w:lang w:val="en-US" w:eastAsia="zh-CN" w:bidi="ar"/>
        </w:rPr>
        <w:t>具备一定规模的</w:t>
      </w:r>
      <w:r>
        <w:rPr>
          <w:rFonts w:hint="default" w:ascii="Times New Roman" w:hAnsi="Times New Roman" w:eastAsia="仿宋_GB2312" w:cs="Times New Roman"/>
          <w:kern w:val="0"/>
          <w:sz w:val="32"/>
          <w:szCs w:val="32"/>
          <w:highlight w:val="none"/>
          <w:lang w:bidi="ar"/>
        </w:rPr>
        <w:t>实施转化</w:t>
      </w:r>
      <w:r>
        <w:rPr>
          <w:rFonts w:hint="default" w:ascii="Times New Roman" w:hAnsi="Times New Roman" w:eastAsia="仿宋_GB2312" w:cs="Times New Roman"/>
          <w:kern w:val="0"/>
          <w:sz w:val="32"/>
          <w:szCs w:val="32"/>
          <w:highlight w:val="none"/>
          <w:lang w:val="en-US" w:eastAsia="zh-CN" w:bidi="ar"/>
        </w:rPr>
        <w:t>项目</w:t>
      </w:r>
      <w:r>
        <w:rPr>
          <w:rFonts w:hint="default" w:ascii="Times New Roman" w:hAnsi="Times New Roman" w:eastAsia="仿宋_GB2312" w:cs="Times New Roman"/>
          <w:kern w:val="0"/>
          <w:sz w:val="32"/>
          <w:szCs w:val="32"/>
          <w:highlight w:val="none"/>
          <w:lang w:bidi="ar"/>
        </w:rPr>
        <w:t>或处于实施期内具有较高转化收益成效的项目</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shd w:val="clear" w:color="auto" w:fill="auto"/>
          <w:lang w:val="en-US" w:eastAsia="zh-CN" w:bidi="ar"/>
        </w:rPr>
        <w:t>潮州特色产业组主要面向卫生陶瓷制品制造、智能卫浴产品制造、五金制品制造、浴室家具制造等。</w:t>
      </w:r>
      <w:r>
        <w:rPr>
          <w:rFonts w:hint="default" w:ascii="Times New Roman" w:hAnsi="Times New Roman" w:eastAsia="仿宋_GB2312" w:cs="Times New Roman"/>
          <w:kern w:val="0"/>
          <w:sz w:val="32"/>
          <w:szCs w:val="32"/>
          <w:highlight w:val="none"/>
          <w:lang w:bidi="ar"/>
        </w:rPr>
        <w:t>报名主体根据项目实际情况自行选择组别参赛，同一项目仅可选择一个组别参赛。</w:t>
      </w:r>
      <w:bookmarkStart w:id="14" w:name="pindex79"/>
      <w:bookmarkEnd w:id="14"/>
    </w:p>
    <w:p w14:paraId="08E52184">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（1）参赛项目应当包含至少一项核心技术（含基础技术、重要技术分支）的有效专利。核心专利应当是2020年1月1日以后授权的发明、实用新型、外观设计专利。所述专利应由国家知识产权局授权，语言限中文。</w:t>
      </w:r>
      <w:bookmarkStart w:id="15" w:name="pindex80"/>
      <w:bookmarkEnd w:id="15"/>
    </w:p>
    <w:p w14:paraId="742B734B">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2）参赛项目拥有多件专利的，应明确其中一件专利为参赛核心专利。除核心专利外，参赛主体应该将与参赛项目关系最密切且能够形成专利组合的不超过10个全球范围内的发明专利、实用新型专利、外观设计专利、集成电路布图设计一起参赛</w:t>
      </w:r>
      <w:r>
        <w:rPr>
          <w:rFonts w:hint="default" w:ascii="Times New Roman" w:hAnsi="Times New Roman" w:eastAsia="仿宋_GB2312" w:cs="Times New Roman"/>
          <w:kern w:val="0"/>
          <w:sz w:val="32"/>
          <w:szCs w:val="32"/>
          <w:highlight w:val="none"/>
          <w:lang w:eastAsia="zh-CN" w:bidi="ar"/>
        </w:rPr>
        <w:t>。</w:t>
      </w:r>
      <w:bookmarkStart w:id="16" w:name="pindex81"/>
      <w:bookmarkEnd w:id="16"/>
    </w:p>
    <w:p w14:paraId="7695E562">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（3）参赛项目核心专利出现明显非正常专利申请现象不满一年的，或出现生效的故意知识产权侵权行为判决或裁决不满一年的，将被取消参赛资格</w:t>
      </w:r>
      <w:r>
        <w:rPr>
          <w:rFonts w:hint="default" w:ascii="Times New Roman" w:hAnsi="Times New Roman" w:eastAsia="仿宋_GB2312" w:cs="Times New Roman"/>
          <w:kern w:val="0"/>
          <w:sz w:val="32"/>
          <w:szCs w:val="32"/>
          <w:highlight w:val="none"/>
          <w:lang w:eastAsia="zh-CN" w:bidi="ar"/>
        </w:rPr>
        <w:t>。</w:t>
      </w:r>
      <w:bookmarkStart w:id="17" w:name="pindex82"/>
      <w:bookmarkEnd w:id="17"/>
    </w:p>
    <w:p w14:paraId="18EE0512">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bookmarkStart w:id="18" w:name="sys83075"/>
      <w:r>
        <w:rPr>
          <w:rFonts w:hint="default" w:ascii="Times New Roman" w:hAnsi="Times New Roman" w:eastAsia="仿宋_GB2312" w:cs="Times New Roman"/>
          <w:kern w:val="0"/>
          <w:sz w:val="32"/>
          <w:szCs w:val="32"/>
          <w:highlight w:val="none"/>
          <w:lang w:bidi="ar"/>
        </w:rPr>
        <w:t>（4）已获得过往届“粤港澳大湾区高价值知识产权培育布局大赛”“粤东西北知识产权创新</w:t>
      </w:r>
      <w:r>
        <w:rPr>
          <w:rFonts w:hint="default" w:ascii="Times New Roman" w:hAnsi="Times New Roman" w:eastAsia="仿宋_GB2312" w:cs="Times New Roman"/>
          <w:kern w:val="0"/>
          <w:sz w:val="32"/>
          <w:szCs w:val="32"/>
          <w:highlight w:val="none"/>
          <w:lang w:val="en-US" w:eastAsia="zh-CN" w:bidi="ar"/>
        </w:rPr>
        <w:t>运用</w:t>
      </w:r>
      <w:r>
        <w:rPr>
          <w:rFonts w:hint="default" w:ascii="Times New Roman" w:hAnsi="Times New Roman" w:eastAsia="仿宋_GB2312" w:cs="Times New Roman"/>
          <w:kern w:val="0"/>
          <w:sz w:val="32"/>
          <w:szCs w:val="32"/>
          <w:highlight w:val="none"/>
          <w:lang w:bidi="ar"/>
        </w:rPr>
        <w:t>大赛”等赛事专利组金奖的项目，不得报名参加第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w:t>
      </w:r>
      <w:bookmarkEnd w:id="18"/>
      <w:bookmarkStart w:id="19" w:name="pindex83"/>
      <w:bookmarkEnd w:id="19"/>
    </w:p>
    <w:p w14:paraId="544944B0">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2.</w:t>
      </w:r>
      <w:r>
        <w:rPr>
          <w:rFonts w:hint="default" w:ascii="Times New Roman" w:hAnsi="Times New Roman" w:eastAsia="仿宋_GB2312" w:cs="Times New Roman"/>
          <w:kern w:val="0"/>
          <w:sz w:val="32"/>
          <w:szCs w:val="32"/>
          <w:highlight w:val="none"/>
          <w:lang w:val="zh-CN" w:bidi="ar"/>
        </w:rPr>
        <w:t>商标</w:t>
      </w:r>
      <w:r>
        <w:rPr>
          <w:rFonts w:hint="default" w:ascii="Times New Roman" w:hAnsi="Times New Roman" w:eastAsia="仿宋_GB2312" w:cs="Times New Roman"/>
          <w:kern w:val="0"/>
          <w:sz w:val="32"/>
          <w:szCs w:val="32"/>
          <w:highlight w:val="none"/>
          <w:lang w:bidi="ar"/>
        </w:rPr>
        <w:t>组</w:t>
      </w:r>
      <w:r>
        <w:rPr>
          <w:rFonts w:hint="default" w:ascii="Times New Roman" w:hAnsi="Times New Roman" w:eastAsia="仿宋_GB2312" w:cs="Times New Roman"/>
          <w:kern w:val="0"/>
          <w:sz w:val="32"/>
          <w:szCs w:val="32"/>
          <w:highlight w:val="none"/>
          <w:lang w:val="zh-CN" w:bidi="ar"/>
        </w:rPr>
        <w:t>参赛项目要求</w:t>
      </w:r>
      <w:bookmarkStart w:id="20" w:name="pindex84"/>
      <w:bookmarkEnd w:id="20"/>
      <w:r>
        <w:rPr>
          <w:rFonts w:hint="default" w:ascii="Times New Roman" w:hAnsi="Times New Roman" w:eastAsia="仿宋_GB2312" w:cs="Times New Roman"/>
          <w:kern w:val="0"/>
          <w:sz w:val="32"/>
          <w:szCs w:val="32"/>
          <w:highlight w:val="none"/>
          <w:lang w:val="zh-CN" w:bidi="ar"/>
        </w:rPr>
        <w:t>。</w:t>
      </w:r>
    </w:p>
    <w:p w14:paraId="6897043B">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（1）参赛项目应当具有至少一件拥有市场价值、起到标识产源作用和能够支撑产品或服务主营收入的国内注册商标，该注册商标作为参赛项目的核心商标，应得到国家知识产权局核准注册，并连续使用1年以上。</w:t>
      </w:r>
      <w:bookmarkStart w:id="21" w:name="pindex85"/>
      <w:bookmarkEnd w:id="21"/>
    </w:p>
    <w:p w14:paraId="4A9E5FBC">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bidi="ar"/>
        </w:rPr>
        <w:t>2</w:t>
      </w:r>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bidi="ar"/>
        </w:rPr>
        <w:t>参赛项目在资格审查中，存在商标侵权生效判决不满一年的情形，或参赛项目在参赛期间，在商标授权确权程序中被认定存在商标恶意抢注、商标囤积或商标不当使用等行为的，将被取消其参赛资格。</w:t>
      </w:r>
      <w:bookmarkStart w:id="22" w:name="pindex86"/>
      <w:bookmarkEnd w:id="22"/>
    </w:p>
    <w:p w14:paraId="4496F66A">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zh-CN" w:bidi="ar"/>
        </w:rPr>
      </w:pPr>
      <w:bookmarkStart w:id="23" w:name="sys87094"/>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bidi="ar"/>
        </w:rPr>
        <w:t>3</w:t>
      </w:r>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bidi="ar"/>
        </w:rPr>
        <w:t>已获得过往届“粤港澳大湾区高价值知识产权培育布局大赛”“粤东西北知识产权创新</w:t>
      </w:r>
      <w:r>
        <w:rPr>
          <w:rFonts w:hint="default" w:ascii="Times New Roman" w:hAnsi="Times New Roman" w:eastAsia="仿宋_GB2312" w:cs="Times New Roman"/>
          <w:kern w:val="0"/>
          <w:sz w:val="32"/>
          <w:szCs w:val="32"/>
          <w:highlight w:val="none"/>
          <w:lang w:val="en-US" w:eastAsia="zh-CN" w:bidi="ar"/>
        </w:rPr>
        <w:t>运用</w:t>
      </w:r>
      <w:r>
        <w:rPr>
          <w:rFonts w:hint="default" w:ascii="Times New Roman" w:hAnsi="Times New Roman" w:eastAsia="仿宋_GB2312" w:cs="Times New Roman"/>
          <w:kern w:val="0"/>
          <w:sz w:val="32"/>
          <w:szCs w:val="32"/>
          <w:highlight w:val="none"/>
          <w:lang w:bidi="ar"/>
        </w:rPr>
        <w:t>大赛”等赛事商标组金奖的项目，不得报名参加第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w:t>
      </w:r>
      <w:bookmarkEnd w:id="23"/>
      <w:bookmarkStart w:id="24" w:name="pindex87"/>
      <w:bookmarkEnd w:id="24"/>
    </w:p>
    <w:p w14:paraId="78AE7B5B">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zh-CN" w:bidi="ar"/>
        </w:rPr>
        <w:t>3.地理标志组参赛项目要求</w:t>
      </w:r>
      <w:bookmarkStart w:id="25" w:name="pindex88"/>
      <w:bookmarkEnd w:id="25"/>
      <w:r>
        <w:rPr>
          <w:rFonts w:hint="default" w:ascii="Times New Roman" w:hAnsi="Times New Roman" w:eastAsia="仿宋_GB2312" w:cs="Times New Roman"/>
          <w:kern w:val="0"/>
          <w:sz w:val="32"/>
          <w:szCs w:val="32"/>
          <w:highlight w:val="none"/>
          <w:lang w:val="zh-CN" w:bidi="ar"/>
        </w:rPr>
        <w:t>。</w:t>
      </w:r>
    </w:p>
    <w:p w14:paraId="2E33B1EA">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zh-CN" w:bidi="ar"/>
        </w:rPr>
      </w:pPr>
      <w:r>
        <w:rPr>
          <w:rFonts w:hint="default" w:ascii="Times New Roman" w:hAnsi="Times New Roman" w:eastAsia="仿宋_GB2312" w:cs="Times New Roman"/>
          <w:kern w:val="0"/>
          <w:sz w:val="32"/>
          <w:szCs w:val="32"/>
          <w:highlight w:val="none"/>
          <w:lang w:bidi="ar"/>
        </w:rPr>
        <w:t>（1）参赛项目应当是具有市场价值、有效使用的国内地理标志商标、地理标志产品，该地理标志应在国家知识产权局核准注册。</w:t>
      </w:r>
      <w:bookmarkStart w:id="26" w:name="pindex89"/>
      <w:bookmarkEnd w:id="26"/>
    </w:p>
    <w:p w14:paraId="1ADC54BD">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bidi="ar"/>
        </w:rPr>
        <w:t>2</w:t>
      </w:r>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bidi="ar"/>
        </w:rPr>
        <w:t>已获得过往届“粤东西北知识产权创新</w:t>
      </w:r>
      <w:r>
        <w:rPr>
          <w:rFonts w:hint="default" w:ascii="Times New Roman" w:hAnsi="Times New Roman" w:eastAsia="仿宋_GB2312" w:cs="Times New Roman"/>
          <w:kern w:val="0"/>
          <w:sz w:val="32"/>
          <w:szCs w:val="32"/>
          <w:highlight w:val="none"/>
          <w:lang w:val="en-US" w:eastAsia="zh-CN" w:bidi="ar"/>
        </w:rPr>
        <w:t>运用</w:t>
      </w:r>
      <w:r>
        <w:rPr>
          <w:rFonts w:hint="default" w:ascii="Times New Roman" w:hAnsi="Times New Roman" w:eastAsia="仿宋_GB2312" w:cs="Times New Roman"/>
          <w:kern w:val="0"/>
          <w:sz w:val="32"/>
          <w:szCs w:val="32"/>
          <w:highlight w:val="none"/>
          <w:lang w:bidi="ar"/>
        </w:rPr>
        <w:t>大赛”等赛事地理标志组金奖的项目，不得报名参加第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w:t>
      </w:r>
      <w:bookmarkStart w:id="27" w:name="pindex90"/>
      <w:bookmarkEnd w:id="27"/>
    </w:p>
    <w:p w14:paraId="14DF46B9">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zh-CN" w:bidi="ar"/>
        </w:rPr>
        <w:t>（3）参赛项目既是地理标志商标又是地理标志产品的，仅可以在商标组或地理标志组中，申请一个组别参赛。</w:t>
      </w:r>
      <w:bookmarkStart w:id="28" w:name="pindex91"/>
      <w:bookmarkEnd w:id="28"/>
    </w:p>
    <w:p w14:paraId="2D65DA2B">
      <w:pPr>
        <w:adjustRightInd w:val="0"/>
        <w:snapToGrid w:val="0"/>
        <w:spacing w:line="58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五</w:t>
      </w:r>
      <w:r>
        <w:rPr>
          <w:rFonts w:hint="default" w:ascii="Times New Roman" w:hAnsi="Times New Roman" w:eastAsia="黑体" w:cs="Times New Roman"/>
          <w:kern w:val="0"/>
          <w:sz w:val="32"/>
          <w:szCs w:val="32"/>
          <w:highlight w:val="none"/>
          <w:lang w:val="zh-CN"/>
        </w:rPr>
        <w:t>、比赛赛程</w:t>
      </w:r>
      <w:bookmarkStart w:id="29" w:name="pindex99"/>
      <w:bookmarkEnd w:id="29"/>
    </w:p>
    <w:p w14:paraId="1ED813EC">
      <w:pPr>
        <w:keepNext w:val="0"/>
        <w:keepLines w:val="0"/>
        <w:pageBreakBefore w:val="0"/>
        <w:widowControl/>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本届大赛整体分为项目征集、初赛评选、决赛评选、颁奖总结四个核心阶段，各阶段紧扣“以赛促引、以赛促投、以赛促用、以赛促培”核心要求，层层推进、闭环管理，具体赛程如下。</w:t>
      </w:r>
    </w:p>
    <w:p w14:paraId="70875562">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val="zh-CN" w:bidi="ar"/>
        </w:rPr>
        <w:t>（一）项目征集阶段（大赛启动至202</w:t>
      </w:r>
      <w:r>
        <w:rPr>
          <w:rFonts w:hint="default" w:ascii="Times New Roman" w:hAnsi="Times New Roman" w:eastAsia="楷体_GB2312" w:cs="Times New Roman"/>
          <w:kern w:val="0"/>
          <w:sz w:val="32"/>
          <w:szCs w:val="32"/>
          <w:highlight w:val="none"/>
          <w:lang w:val="en-US" w:eastAsia="zh-CN" w:bidi="ar"/>
        </w:rPr>
        <w:t>6</w:t>
      </w:r>
      <w:r>
        <w:rPr>
          <w:rFonts w:hint="default" w:ascii="Times New Roman" w:hAnsi="Times New Roman" w:eastAsia="楷体_GB2312" w:cs="Times New Roman"/>
          <w:kern w:val="0"/>
          <w:sz w:val="32"/>
          <w:szCs w:val="32"/>
          <w:highlight w:val="none"/>
          <w:lang w:val="zh-CN" w:bidi="ar"/>
        </w:rPr>
        <w:t>年</w:t>
      </w:r>
      <w:r>
        <w:rPr>
          <w:rFonts w:hint="default" w:ascii="Times New Roman" w:hAnsi="Times New Roman" w:eastAsia="楷体_GB2312" w:cs="Times New Roman"/>
          <w:kern w:val="0"/>
          <w:sz w:val="32"/>
          <w:szCs w:val="32"/>
          <w:highlight w:val="none"/>
          <w:lang w:val="en-US" w:eastAsia="zh-CN" w:bidi="ar"/>
        </w:rPr>
        <w:t>8</w:t>
      </w:r>
      <w:r>
        <w:rPr>
          <w:rFonts w:hint="default" w:ascii="Times New Roman" w:hAnsi="Times New Roman" w:eastAsia="楷体_GB2312" w:cs="Times New Roman"/>
          <w:kern w:val="0"/>
          <w:sz w:val="32"/>
          <w:szCs w:val="32"/>
          <w:highlight w:val="none"/>
          <w:lang w:val="zh-CN" w:bidi="ar"/>
        </w:rPr>
        <w:t>月</w:t>
      </w:r>
      <w:r>
        <w:rPr>
          <w:rFonts w:hint="default" w:ascii="Times New Roman" w:hAnsi="Times New Roman" w:eastAsia="楷体_GB2312" w:cs="Times New Roman"/>
          <w:kern w:val="0"/>
          <w:sz w:val="32"/>
          <w:szCs w:val="32"/>
          <w:highlight w:val="none"/>
          <w:lang w:val="en-US" w:eastAsia="zh-CN" w:bidi="ar"/>
        </w:rPr>
        <w:t>底</w:t>
      </w:r>
      <w:r>
        <w:rPr>
          <w:rFonts w:hint="default" w:ascii="Times New Roman" w:hAnsi="Times New Roman" w:eastAsia="楷体_GB2312" w:cs="Times New Roman"/>
          <w:kern w:val="0"/>
          <w:sz w:val="32"/>
          <w:szCs w:val="32"/>
          <w:highlight w:val="none"/>
          <w:lang w:val="zh-CN" w:bidi="ar"/>
        </w:rPr>
        <w:t>）</w:t>
      </w:r>
      <w:bookmarkStart w:id="30" w:name="pindex101"/>
      <w:bookmarkEnd w:id="30"/>
    </w:p>
    <w:p w14:paraId="28C5056B">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2026年5月</w:t>
      </w: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w:t>
      </w:r>
      <w:r>
        <w:rPr>
          <w:rFonts w:hint="default" w:ascii="Times New Roman" w:hAnsi="Times New Roman" w:eastAsia="仿宋_GB2312" w:cs="Times New Roman"/>
          <w:kern w:val="0"/>
          <w:sz w:val="32"/>
          <w:szCs w:val="32"/>
          <w:highlight w:val="none"/>
          <w:lang w:val="en-US" w:eastAsia="zh-CN" w:bidi="ar"/>
        </w:rPr>
        <w:t>正式</w:t>
      </w:r>
      <w:r>
        <w:rPr>
          <w:rFonts w:hint="default" w:ascii="Times New Roman" w:hAnsi="Times New Roman" w:eastAsia="仿宋_GB2312" w:cs="Times New Roman"/>
          <w:kern w:val="0"/>
          <w:sz w:val="32"/>
          <w:szCs w:val="32"/>
          <w:highlight w:val="none"/>
          <w:lang w:bidi="ar"/>
        </w:rPr>
        <w:t>启动</w:t>
      </w:r>
      <w:r>
        <w:rPr>
          <w:rFonts w:hint="default" w:ascii="Times New Roman" w:hAnsi="Times New Roman" w:eastAsia="仿宋_GB2312" w:cs="Times New Roman"/>
          <w:kern w:val="0"/>
          <w:sz w:val="32"/>
          <w:szCs w:val="32"/>
          <w:highlight w:val="none"/>
          <w:lang w:val="en-US" w:eastAsia="zh-CN" w:bidi="ar"/>
        </w:rPr>
        <w:t>，开启线上报名系统；5</w:t>
      </w:r>
      <w:r>
        <w:rPr>
          <w:rFonts w:hint="eastAsia"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6月举办主题宣讲活动，结合粤东西北</w:t>
      </w:r>
      <w:r>
        <w:rPr>
          <w:rFonts w:hint="eastAsia" w:eastAsia="仿宋_GB2312" w:cs="Times New Roman"/>
          <w:kern w:val="0"/>
          <w:sz w:val="32"/>
          <w:szCs w:val="32"/>
          <w:highlight w:val="none"/>
          <w:lang w:val="en-US" w:eastAsia="zh-CN" w:bidi="ar"/>
        </w:rPr>
        <w:t>地区</w:t>
      </w:r>
      <w:r>
        <w:rPr>
          <w:rFonts w:hint="default" w:ascii="Times New Roman" w:hAnsi="Times New Roman" w:eastAsia="仿宋_GB2312" w:cs="Times New Roman"/>
          <w:kern w:val="0"/>
          <w:sz w:val="32"/>
          <w:szCs w:val="32"/>
          <w:highlight w:val="none"/>
          <w:lang w:val="en-US" w:eastAsia="zh-CN" w:bidi="ar"/>
        </w:rPr>
        <w:t>各</w:t>
      </w:r>
      <w:r>
        <w:rPr>
          <w:rFonts w:hint="eastAsia" w:eastAsia="仿宋_GB2312" w:cs="Times New Roman"/>
          <w:kern w:val="0"/>
          <w:sz w:val="32"/>
          <w:szCs w:val="32"/>
          <w:highlight w:val="none"/>
          <w:lang w:val="en-US" w:eastAsia="zh-CN" w:bidi="ar"/>
        </w:rPr>
        <w:t>市</w:t>
      </w:r>
      <w:r>
        <w:rPr>
          <w:rFonts w:hint="default" w:ascii="Times New Roman" w:hAnsi="Times New Roman" w:eastAsia="仿宋_GB2312" w:cs="Times New Roman"/>
          <w:kern w:val="0"/>
          <w:sz w:val="32"/>
          <w:szCs w:val="32"/>
          <w:highlight w:val="none"/>
          <w:lang w:val="en-US" w:eastAsia="zh-CN" w:bidi="ar"/>
        </w:rPr>
        <w:t>域情况形成联动开展</w:t>
      </w:r>
      <w:r>
        <w:rPr>
          <w:rFonts w:hint="default" w:ascii="Times New Roman" w:hAnsi="Times New Roman" w:eastAsia="仿宋_GB2312" w:cs="Times New Roman"/>
          <w:kern w:val="0"/>
          <w:sz w:val="32"/>
          <w:szCs w:val="32"/>
          <w:highlight w:val="none"/>
          <w:lang w:bidi="ar"/>
        </w:rPr>
        <w:t>赛前宣讲</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同时与大湾区</w:t>
      </w:r>
      <w:r>
        <w:rPr>
          <w:rFonts w:hint="eastAsia" w:eastAsia="仿宋_GB2312" w:cs="Times New Roman"/>
          <w:kern w:val="0"/>
          <w:sz w:val="32"/>
          <w:szCs w:val="32"/>
          <w:highlight w:val="none"/>
          <w:lang w:val="en-US" w:eastAsia="zh-CN" w:bidi="ar"/>
        </w:rPr>
        <w:t>内地九</w:t>
      </w:r>
      <w:r>
        <w:rPr>
          <w:rFonts w:hint="default" w:ascii="Times New Roman" w:hAnsi="Times New Roman" w:eastAsia="仿宋_GB2312" w:cs="Times New Roman"/>
          <w:kern w:val="0"/>
          <w:sz w:val="32"/>
          <w:szCs w:val="32"/>
          <w:highlight w:val="none"/>
          <w:lang w:val="en-US" w:eastAsia="zh-CN" w:bidi="ar"/>
        </w:rPr>
        <w:t>市及国内其他地市开展区域联动</w:t>
      </w:r>
      <w:r>
        <w:rPr>
          <w:rFonts w:hint="default" w:ascii="Times New Roman" w:hAnsi="Times New Roman" w:eastAsia="仿宋_GB2312" w:cs="Times New Roman"/>
          <w:kern w:val="0"/>
          <w:sz w:val="32"/>
          <w:szCs w:val="32"/>
          <w:highlight w:val="none"/>
          <w:lang w:bidi="ar"/>
        </w:rPr>
        <w:t>宣讲动员活动。项目报名截止日期</w:t>
      </w:r>
      <w:r>
        <w:rPr>
          <w:rFonts w:hint="eastAsia" w:eastAsia="仿宋_GB2312" w:cs="Times New Roman"/>
          <w:kern w:val="0"/>
          <w:sz w:val="32"/>
          <w:szCs w:val="32"/>
          <w:highlight w:val="none"/>
          <w:lang w:eastAsia="zh-CN" w:bidi="ar"/>
        </w:rPr>
        <w:t>计划在</w:t>
      </w:r>
      <w:r>
        <w:rPr>
          <w:rFonts w:hint="default" w:ascii="Times New Roman" w:hAnsi="Times New Roman" w:eastAsia="仿宋_GB2312" w:cs="Times New Roman"/>
          <w:kern w:val="0"/>
          <w:sz w:val="32"/>
          <w:szCs w:val="32"/>
          <w:highlight w:val="none"/>
          <w:lang w:bidi="ar"/>
        </w:rPr>
        <w:t>202</w:t>
      </w:r>
      <w:r>
        <w:rPr>
          <w:rFonts w:hint="default"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bidi="ar"/>
        </w:rPr>
        <w:t>年</w:t>
      </w:r>
      <w:r>
        <w:rPr>
          <w:rFonts w:hint="default" w:ascii="Times New Roman" w:hAnsi="Times New Roman" w:eastAsia="仿宋_GB2312" w:cs="Times New Roman"/>
          <w:kern w:val="0"/>
          <w:sz w:val="32"/>
          <w:szCs w:val="32"/>
          <w:highlight w:val="none"/>
          <w:lang w:val="en-US" w:eastAsia="zh-CN" w:bidi="ar"/>
        </w:rPr>
        <w:t>8</w:t>
      </w:r>
      <w:r>
        <w:rPr>
          <w:rFonts w:hint="default" w:ascii="Times New Roman" w:hAnsi="Times New Roman" w:eastAsia="仿宋_GB2312" w:cs="Times New Roman"/>
          <w:kern w:val="0"/>
          <w:sz w:val="32"/>
          <w:szCs w:val="32"/>
          <w:highlight w:val="none"/>
          <w:lang w:bidi="ar"/>
        </w:rPr>
        <w:t>月</w:t>
      </w:r>
      <w:r>
        <w:rPr>
          <w:rFonts w:hint="default" w:ascii="Times New Roman" w:hAnsi="Times New Roman" w:eastAsia="仿宋_GB2312" w:cs="Times New Roman"/>
          <w:kern w:val="0"/>
          <w:sz w:val="32"/>
          <w:szCs w:val="32"/>
          <w:highlight w:val="none"/>
          <w:lang w:val="en-US" w:eastAsia="zh-CN" w:bidi="ar"/>
        </w:rPr>
        <w:t>中旬</w:t>
      </w:r>
      <w:r>
        <w:rPr>
          <w:rFonts w:hint="default" w:ascii="Times New Roman" w:hAnsi="Times New Roman" w:eastAsia="仿宋_GB2312" w:cs="Times New Roman"/>
          <w:kern w:val="0"/>
          <w:sz w:val="32"/>
          <w:szCs w:val="32"/>
          <w:highlight w:val="none"/>
          <w:lang w:bidi="ar"/>
        </w:rPr>
        <w:t>。</w:t>
      </w:r>
    </w:p>
    <w:p w14:paraId="6C6E3472">
      <w:pPr>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1.</w:t>
      </w:r>
      <w:r>
        <w:rPr>
          <w:rFonts w:hint="default" w:ascii="Times New Roman" w:hAnsi="Times New Roman" w:eastAsia="仿宋_GB2312" w:cs="Times New Roman"/>
          <w:kern w:val="0"/>
          <w:sz w:val="32"/>
          <w:szCs w:val="32"/>
          <w:highlight w:val="none"/>
          <w:lang w:eastAsia="zh-CN" w:bidi="ar"/>
        </w:rPr>
        <w:t>项目申报。本届大赛采用线上申报方式，在</w:t>
      </w:r>
      <w:r>
        <w:rPr>
          <w:rFonts w:hint="default" w:ascii="Times New Roman" w:hAnsi="Times New Roman" w:eastAsia="仿宋_GB2312" w:cs="Times New Roman"/>
          <w:kern w:val="0"/>
          <w:sz w:val="32"/>
          <w:szCs w:val="32"/>
          <w:highlight w:val="none"/>
          <w:lang w:bidi="ar"/>
        </w:rPr>
        <w:t>项目报名截止日期</w:t>
      </w:r>
      <w:r>
        <w:rPr>
          <w:rFonts w:hint="default" w:ascii="Times New Roman" w:hAnsi="Times New Roman" w:eastAsia="仿宋_GB2312" w:cs="Times New Roman"/>
          <w:kern w:val="0"/>
          <w:sz w:val="32"/>
          <w:szCs w:val="32"/>
          <w:highlight w:val="none"/>
          <w:lang w:eastAsia="zh-CN" w:bidi="ar"/>
        </w:rPr>
        <w:t>前，登录报名系统注册报名，填写项目资料并提交“信用中国”查询信息截图。</w:t>
      </w:r>
      <w:bookmarkStart w:id="31" w:name="pindex103"/>
      <w:bookmarkEnd w:id="31"/>
    </w:p>
    <w:p w14:paraId="5E5A85EA">
      <w:pPr>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eastAsia="zh-CN" w:bidi="ar"/>
        </w:rPr>
        <w:t>申报材料。各参赛项目需提交以下报名材料：</w:t>
      </w:r>
      <w:bookmarkStart w:id="32" w:name="pindex104"/>
      <w:bookmarkEnd w:id="32"/>
    </w:p>
    <w:p w14:paraId="3C62AA18">
      <w:pPr>
        <w:spacing w:line="580" w:lineRule="exact"/>
        <w:ind w:firstLine="640" w:firstLineChars="200"/>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eastAsia="zh-CN" w:bidi="ar"/>
        </w:rPr>
        <w:t>（1）项目报名表（须注明参赛组别；未注明的，按资格审查不通过处理）</w:t>
      </w:r>
      <w:bookmarkStart w:id="33" w:name="pindex105"/>
      <w:bookmarkEnd w:id="33"/>
      <w:r>
        <w:rPr>
          <w:rFonts w:hint="default" w:ascii="Times New Roman" w:hAnsi="Times New Roman" w:eastAsia="仿宋_GB2312" w:cs="Times New Roman"/>
          <w:kern w:val="0"/>
          <w:sz w:val="32"/>
          <w:szCs w:val="32"/>
          <w:highlight w:val="none"/>
          <w:lang w:eastAsia="zh-CN" w:bidi="ar"/>
        </w:rPr>
        <w:t>；</w:t>
      </w:r>
    </w:p>
    <w:p w14:paraId="5E4E3649">
      <w:pPr>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eastAsia="zh-CN" w:bidi="ar"/>
        </w:rPr>
        <w:t>（2）企业营业执照</w:t>
      </w:r>
      <w:bookmarkStart w:id="34" w:name="pindex106"/>
      <w:bookmarkEnd w:id="34"/>
      <w:r>
        <w:rPr>
          <w:rFonts w:hint="default" w:ascii="Times New Roman" w:hAnsi="Times New Roman" w:eastAsia="仿宋_GB2312" w:cs="Times New Roman"/>
          <w:kern w:val="0"/>
          <w:sz w:val="32"/>
          <w:szCs w:val="32"/>
          <w:highlight w:val="none"/>
          <w:lang w:eastAsia="zh-CN" w:bidi="ar"/>
        </w:rPr>
        <w:t>；</w:t>
      </w:r>
    </w:p>
    <w:p w14:paraId="11EC3467">
      <w:pPr>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eastAsia="zh-CN" w:bidi="ar"/>
        </w:rPr>
        <w:t>（3）法人代表或项目负责人身份证</w:t>
      </w:r>
      <w:bookmarkStart w:id="35" w:name="pindex107"/>
      <w:bookmarkEnd w:id="35"/>
      <w:r>
        <w:rPr>
          <w:rFonts w:hint="default" w:ascii="Times New Roman" w:hAnsi="Times New Roman" w:eastAsia="仿宋_GB2312" w:cs="Times New Roman"/>
          <w:kern w:val="0"/>
          <w:sz w:val="32"/>
          <w:szCs w:val="32"/>
          <w:highlight w:val="none"/>
          <w:lang w:eastAsia="zh-CN" w:bidi="ar"/>
        </w:rPr>
        <w:t>；</w:t>
      </w:r>
    </w:p>
    <w:p w14:paraId="1E4580C8">
      <w:pPr>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eastAsia="zh-CN" w:bidi="ar"/>
        </w:rPr>
        <w:t>（4）企业信用信息（在“信用中国”查询信息截图）；</w:t>
      </w:r>
    </w:p>
    <w:p w14:paraId="61F5DDCE">
      <w:pPr>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eastAsia="zh-CN" w:bidi="ar"/>
        </w:rPr>
        <w:t>（5）根据评分指标体系需提供的可反映本项目相关情况的材料</w:t>
      </w:r>
      <w:bookmarkStart w:id="36" w:name="pindex109"/>
      <w:bookmarkEnd w:id="36"/>
      <w:r>
        <w:rPr>
          <w:rFonts w:hint="default" w:ascii="Times New Roman" w:hAnsi="Times New Roman" w:eastAsia="仿宋_GB2312" w:cs="Times New Roman"/>
          <w:kern w:val="0"/>
          <w:sz w:val="32"/>
          <w:szCs w:val="32"/>
          <w:highlight w:val="none"/>
          <w:lang w:eastAsia="zh-CN" w:bidi="ar"/>
        </w:rPr>
        <w:t>；</w:t>
      </w:r>
    </w:p>
    <w:p w14:paraId="6F94AD0B">
      <w:pPr>
        <w:spacing w:line="580" w:lineRule="exact"/>
        <w:ind w:firstLine="640" w:firstLineChars="200"/>
        <w:rPr>
          <w:rFonts w:hint="default" w:ascii="Times New Roman" w:hAnsi="Times New Roman" w:eastAsia="仿宋_GB2312" w:cs="Times New Roman"/>
          <w:kern w:val="0"/>
          <w:sz w:val="32"/>
          <w:szCs w:val="32"/>
          <w:highlight w:val="none"/>
          <w:lang w:bidi="ar"/>
        </w:rPr>
      </w:pPr>
      <w:bookmarkStart w:id="37" w:name="sys1100110"/>
      <w:r>
        <w:rPr>
          <w:rFonts w:hint="default" w:ascii="Times New Roman" w:hAnsi="Times New Roman" w:eastAsia="仿宋_GB2312" w:cs="Times New Roman"/>
          <w:kern w:val="0"/>
          <w:sz w:val="32"/>
          <w:szCs w:val="32"/>
          <w:highlight w:val="none"/>
          <w:lang w:eastAsia="zh-CN" w:bidi="ar"/>
        </w:rPr>
        <w:t>（6）粤东西北地区相关地市以外的地区或国家创新主体与粤东西北地区创新主体</w:t>
      </w:r>
      <w:r>
        <w:rPr>
          <w:rFonts w:hint="default" w:ascii="Times New Roman" w:hAnsi="Times New Roman" w:eastAsia="仿宋_GB2312" w:cs="Times New Roman"/>
          <w:kern w:val="0"/>
          <w:sz w:val="32"/>
          <w:szCs w:val="32"/>
          <w:highlight w:val="none"/>
          <w:lang w:val="en-US" w:eastAsia="zh-CN" w:bidi="ar"/>
        </w:rPr>
        <w:t>联合</w:t>
      </w:r>
      <w:r>
        <w:rPr>
          <w:rFonts w:hint="default" w:ascii="Times New Roman" w:hAnsi="Times New Roman" w:eastAsia="仿宋_GB2312" w:cs="Times New Roman"/>
          <w:kern w:val="0"/>
          <w:sz w:val="32"/>
          <w:szCs w:val="32"/>
          <w:highlight w:val="none"/>
          <w:lang w:eastAsia="zh-CN" w:bidi="ar"/>
        </w:rPr>
        <w:t>报名参赛的，需提供相关知识产权已在或有意在粤东西北相关地市进行转化落地的相关证明材料，包括且不限于双方签订的转化许可合同、支付的转化许可费用凭据等</w:t>
      </w:r>
      <w:bookmarkEnd w:id="37"/>
      <w:bookmarkStart w:id="38" w:name="pindex110"/>
      <w:bookmarkEnd w:id="38"/>
      <w:r>
        <w:rPr>
          <w:rFonts w:hint="default" w:ascii="Times New Roman" w:hAnsi="Times New Roman" w:eastAsia="仿宋_GB2312" w:cs="Times New Roman"/>
          <w:kern w:val="0"/>
          <w:sz w:val="32"/>
          <w:szCs w:val="32"/>
          <w:highlight w:val="none"/>
          <w:lang w:eastAsia="zh-CN" w:bidi="ar"/>
        </w:rPr>
        <w:t>；</w:t>
      </w:r>
    </w:p>
    <w:p w14:paraId="26DC8037">
      <w:pPr>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eastAsia="zh-CN" w:bidi="ar"/>
        </w:rPr>
        <w:t>（7）参赛单位认为可更加全面反映</w:t>
      </w:r>
      <w:r>
        <w:rPr>
          <w:rFonts w:hint="default" w:ascii="Times New Roman" w:hAnsi="Times New Roman" w:eastAsia="仿宋_GB2312" w:cs="Times New Roman"/>
          <w:kern w:val="0"/>
          <w:sz w:val="32"/>
          <w:szCs w:val="32"/>
          <w:highlight w:val="none"/>
          <w:lang w:eastAsia="zh" w:bidi="ar"/>
        </w:rPr>
        <w:t>参赛</w:t>
      </w:r>
      <w:r>
        <w:rPr>
          <w:rFonts w:hint="default" w:ascii="Times New Roman" w:hAnsi="Times New Roman" w:eastAsia="仿宋_GB2312" w:cs="Times New Roman"/>
          <w:kern w:val="0"/>
          <w:sz w:val="32"/>
          <w:szCs w:val="32"/>
          <w:highlight w:val="none"/>
          <w:lang w:eastAsia="zh-CN" w:bidi="ar"/>
        </w:rPr>
        <w:t>项目相关情况的其他材料</w:t>
      </w:r>
      <w:bookmarkStart w:id="39" w:name="pindex111"/>
      <w:bookmarkEnd w:id="39"/>
      <w:r>
        <w:rPr>
          <w:rFonts w:hint="default" w:ascii="Times New Roman" w:hAnsi="Times New Roman" w:eastAsia="仿宋_GB2312" w:cs="Times New Roman"/>
          <w:kern w:val="0"/>
          <w:sz w:val="32"/>
          <w:szCs w:val="32"/>
          <w:highlight w:val="none"/>
          <w:lang w:eastAsia="zh-CN" w:bidi="ar"/>
        </w:rPr>
        <w:t>；</w:t>
      </w:r>
    </w:p>
    <w:p w14:paraId="73275E5F">
      <w:pPr>
        <w:autoSpaceDE w:val="0"/>
        <w:adjustRightInd w:val="0"/>
        <w:snapToGrid w:val="0"/>
        <w:spacing w:line="580" w:lineRule="exact"/>
        <w:ind w:firstLine="640" w:firstLineChars="200"/>
        <w:jc w:val="left"/>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eastAsia="zh-CN" w:bidi="ar"/>
        </w:rPr>
        <w:t>以上材料需扫描为PDF格式后上传至报名系统，初赛不需要纸件。</w:t>
      </w:r>
    </w:p>
    <w:p w14:paraId="724CD392">
      <w:pPr>
        <w:autoSpaceDE w:val="0"/>
        <w:adjustRightInd w:val="0"/>
        <w:snapToGrid w:val="0"/>
        <w:spacing w:line="580" w:lineRule="exact"/>
        <w:ind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项目征集阶段，同时开展</w:t>
      </w:r>
      <w:r>
        <w:rPr>
          <w:rFonts w:hint="default" w:ascii="Times New Roman" w:hAnsi="Times New Roman" w:eastAsia="仿宋_GB2312" w:cs="Times New Roman"/>
          <w:b w:val="0"/>
          <w:bCs w:val="0"/>
          <w:color w:val="auto"/>
          <w:kern w:val="0"/>
          <w:sz w:val="32"/>
          <w:szCs w:val="32"/>
          <w:highlight w:val="none"/>
          <w:lang w:val="en-US" w:eastAsia="zh-CN" w:bidi="ar"/>
        </w:rPr>
        <w:t>特色产业技术需求征集。面向潮州特色产业</w:t>
      </w:r>
      <w:r>
        <w:rPr>
          <w:rStyle w:val="8"/>
          <w:rFonts w:hint="default" w:ascii="Times New Roman" w:hAnsi="Times New Roman" w:eastAsia="仿宋_GB2312" w:cs="Times New Roman"/>
          <w:b w:val="0"/>
          <w:bCs w:val="0"/>
          <w:color w:val="auto"/>
          <w:kern w:val="0"/>
          <w:sz w:val="32"/>
          <w:szCs w:val="32"/>
          <w:highlight w:val="none"/>
          <w:lang w:val="en-US" w:eastAsia="zh-CN" w:bidi="ar"/>
        </w:rPr>
        <w:t>智能卫浴领域企业</w:t>
      </w:r>
      <w:r>
        <w:rPr>
          <w:rFonts w:hint="default" w:ascii="Times New Roman" w:hAnsi="Times New Roman" w:eastAsia="仿宋_GB2312" w:cs="Times New Roman"/>
          <w:b w:val="0"/>
          <w:bCs w:val="0"/>
          <w:color w:val="auto"/>
          <w:kern w:val="0"/>
          <w:sz w:val="32"/>
          <w:szCs w:val="32"/>
          <w:highlight w:val="none"/>
          <w:lang w:val="en-US" w:eastAsia="zh-CN" w:bidi="ar"/>
        </w:rPr>
        <w:t>，专项征集产业链核心技术、工艺优化、产品升级及智能制造等相关技术需求清单，精准梳理短板痛点，助力产学研精准对接与成果转化。</w:t>
      </w:r>
    </w:p>
    <w:p w14:paraId="1AC2D801">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（二）初赛评选阶段（202</w:t>
      </w:r>
      <w:r>
        <w:rPr>
          <w:rFonts w:hint="default" w:ascii="Times New Roman" w:hAnsi="Times New Roman" w:eastAsia="楷体_GB2312" w:cs="Times New Roman"/>
          <w:kern w:val="0"/>
          <w:sz w:val="32"/>
          <w:szCs w:val="32"/>
          <w:highlight w:val="none"/>
          <w:lang w:val="en-US" w:eastAsia="zh-CN" w:bidi="ar"/>
        </w:rPr>
        <w:t>6</w:t>
      </w:r>
      <w:r>
        <w:rPr>
          <w:rFonts w:hint="default" w:ascii="Times New Roman" w:hAnsi="Times New Roman" w:eastAsia="楷体_GB2312" w:cs="Times New Roman"/>
          <w:kern w:val="0"/>
          <w:sz w:val="32"/>
          <w:szCs w:val="32"/>
          <w:highlight w:val="none"/>
          <w:lang w:bidi="ar"/>
        </w:rPr>
        <w:t>年9月）</w:t>
      </w:r>
      <w:bookmarkStart w:id="40" w:name="pindex113"/>
      <w:bookmarkEnd w:id="40"/>
    </w:p>
    <w:p w14:paraId="4DD5B9D5">
      <w:pPr>
        <w:pStyle w:val="3"/>
        <w:widowControl/>
        <w:adjustRightInd w:val="0"/>
        <w:snapToGrid w:val="0"/>
        <w:spacing w:line="580" w:lineRule="exact"/>
        <w:ind w:firstLine="640" w:firstLineChars="200"/>
        <w:jc w:val="both"/>
        <w:rPr>
          <w:rFonts w:hint="default" w:ascii="Times New Roman" w:hAnsi="Times New Roman" w:eastAsia="仿宋_GB2312" w:cs="Times New Roman"/>
          <w:sz w:val="32"/>
          <w:szCs w:val="32"/>
          <w:highlight w:val="none"/>
          <w:lang w:eastAsia="zh-CN" w:bidi="ar"/>
        </w:rPr>
      </w:pPr>
      <w:r>
        <w:rPr>
          <w:rFonts w:hint="default" w:ascii="Times New Roman" w:hAnsi="Times New Roman" w:eastAsia="仿宋_GB2312" w:cs="Times New Roman"/>
          <w:sz w:val="32"/>
          <w:szCs w:val="32"/>
          <w:highlight w:val="none"/>
          <w:lang w:eastAsia="zh-CN" w:bidi="ar"/>
        </w:rPr>
        <w:t>1.资格审查。由</w:t>
      </w:r>
      <w:r>
        <w:rPr>
          <w:rFonts w:hint="default" w:ascii="Times New Roman" w:hAnsi="Times New Roman" w:eastAsia="仿宋_GB2312" w:cs="Times New Roman"/>
          <w:sz w:val="32"/>
          <w:szCs w:val="32"/>
          <w:highlight w:val="none"/>
          <w:lang w:val="en-US" w:eastAsia="zh-CN" w:bidi="ar"/>
        </w:rPr>
        <w:t>评审委员会</w:t>
      </w:r>
      <w:r>
        <w:rPr>
          <w:rFonts w:hint="default" w:ascii="Times New Roman" w:hAnsi="Times New Roman" w:eastAsia="仿宋_GB2312" w:cs="Times New Roman"/>
          <w:sz w:val="32"/>
          <w:szCs w:val="32"/>
          <w:highlight w:val="none"/>
          <w:lang w:eastAsia="zh-CN" w:bidi="ar"/>
        </w:rPr>
        <w:t>审核项目申报资料，确认符合参赛资格的参赛项目。除参赛主体自行提交的资料外，对于所有项目，审核人员应查询国家企业信用信息公示系统等网站，查询参赛主体是否存在严重失信行为，是否存在影响品牌声誉或涉及质量问题的行政处罚；对于专利类项目，审核人员应查询国家知识产权局专利检索及分析数据库，确认参赛项目所涉及的专利是否真实有效，确认专利权人与参赛主体是否一致；对于商标类项目，审核人员应查询裁判文书网、国家知识产权商标查询系统等网站，查询是否存在一年内的侵权生效判决，参赛商标是否涉及确权纠纷等。</w:t>
      </w:r>
      <w:bookmarkStart w:id="41" w:name="pindex114"/>
      <w:bookmarkEnd w:id="41"/>
    </w:p>
    <w:p w14:paraId="76418C6C">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2.资格公示</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经资格审查通过的项目进行网上公示，公示时间不少于5个工作日。公示无异议的项目，进入专家评审环节；对公示有异议的项目，由</w:t>
      </w:r>
      <w:r>
        <w:rPr>
          <w:rFonts w:hint="default" w:ascii="Times New Roman" w:hAnsi="Times New Roman" w:eastAsia="仿宋_GB2312" w:cs="Times New Roman"/>
          <w:kern w:val="0"/>
          <w:sz w:val="32"/>
          <w:szCs w:val="32"/>
          <w:highlight w:val="none"/>
          <w:lang w:val="en-US" w:eastAsia="zh-CN" w:bidi="ar"/>
        </w:rPr>
        <w:t>仲裁委员会</w:t>
      </w:r>
      <w:r>
        <w:rPr>
          <w:rFonts w:hint="default" w:ascii="Times New Roman" w:hAnsi="Times New Roman" w:eastAsia="仿宋_GB2312" w:cs="Times New Roman"/>
          <w:kern w:val="0"/>
          <w:sz w:val="32"/>
          <w:szCs w:val="32"/>
          <w:highlight w:val="none"/>
          <w:lang w:bidi="ar"/>
        </w:rPr>
        <w:t>进行核实并判定。</w:t>
      </w:r>
      <w:r>
        <w:rPr>
          <w:rFonts w:hint="default" w:ascii="Times New Roman" w:hAnsi="Times New Roman" w:eastAsia="仿宋_GB2312" w:cs="Times New Roman"/>
          <w:kern w:val="0"/>
          <w:sz w:val="32"/>
          <w:szCs w:val="32"/>
          <w:highlight w:val="none"/>
          <w:lang w:val="en-US" w:eastAsia="zh-CN" w:bidi="ar"/>
        </w:rPr>
        <w:t>仲裁委员会</w:t>
      </w:r>
      <w:r>
        <w:rPr>
          <w:rFonts w:hint="default" w:ascii="Times New Roman" w:hAnsi="Times New Roman" w:eastAsia="仿宋_GB2312" w:cs="Times New Roman"/>
          <w:kern w:val="0"/>
          <w:sz w:val="32"/>
          <w:szCs w:val="32"/>
          <w:highlight w:val="none"/>
          <w:lang w:bidi="ar"/>
        </w:rPr>
        <w:t>判定符合参赛资格的，进入专家评审环节。</w:t>
      </w:r>
      <w:bookmarkStart w:id="42" w:name="pindex116"/>
      <w:bookmarkEnd w:id="42"/>
    </w:p>
    <w:p w14:paraId="2FB339B1">
      <w:pPr>
        <w:pStyle w:val="10"/>
        <w:numPr>
          <w:ilvl w:val="0"/>
          <w:numId w:val="0"/>
        </w:numPr>
        <w:adjustRightInd w:val="0"/>
        <w:snapToGrid w:val="0"/>
        <w:spacing w:line="580" w:lineRule="exact"/>
        <w:ind w:left="0"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3.</w:t>
      </w:r>
      <w:r>
        <w:rPr>
          <w:rFonts w:hint="default" w:ascii="Times New Roman" w:hAnsi="Times New Roman" w:eastAsia="仿宋_GB2312" w:cs="Times New Roman"/>
          <w:kern w:val="0"/>
          <w:sz w:val="32"/>
          <w:szCs w:val="32"/>
          <w:highlight w:val="none"/>
          <w:lang w:bidi="ar"/>
        </w:rPr>
        <w:t>专家评审。初赛专家根据评审规则及评分体系对申报项目材料进行评审，对项目材料中未涉及的内容，均视为无此类情况。</w:t>
      </w:r>
      <w:bookmarkStart w:id="43" w:name="pindex117"/>
      <w:bookmarkEnd w:id="43"/>
    </w:p>
    <w:p w14:paraId="10022A16">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en-US" w:bidi="ar"/>
        </w:rPr>
      </w:pPr>
      <w:r>
        <w:rPr>
          <w:rFonts w:hint="default" w:ascii="Times New Roman" w:hAnsi="Times New Roman" w:eastAsia="仿宋_GB2312" w:cs="Times New Roman"/>
          <w:kern w:val="0"/>
          <w:sz w:val="32"/>
          <w:szCs w:val="32"/>
          <w:highlight w:val="none"/>
          <w:lang w:bidi="ar"/>
        </w:rPr>
        <w:t>根据初赛专家评审结果，评选出第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届粤创赛百强</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120项</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项目，其中专利组</w:t>
      </w:r>
      <w:r>
        <w:rPr>
          <w:rFonts w:hint="default" w:ascii="Times New Roman" w:hAnsi="Times New Roman" w:eastAsia="仿宋_GB2312" w:cs="Times New Roman"/>
          <w:kern w:val="0"/>
          <w:sz w:val="32"/>
          <w:szCs w:val="32"/>
          <w:highlight w:val="none"/>
          <w:lang w:val="en-US" w:eastAsia="zh-CN" w:bidi="ar"/>
        </w:rPr>
        <w:t>80</w:t>
      </w:r>
      <w:r>
        <w:rPr>
          <w:rFonts w:hint="default" w:ascii="Times New Roman" w:hAnsi="Times New Roman" w:eastAsia="仿宋_GB2312" w:cs="Times New Roman"/>
          <w:kern w:val="0"/>
          <w:sz w:val="32"/>
          <w:szCs w:val="32"/>
          <w:highlight w:val="none"/>
          <w:lang w:bidi="ar"/>
        </w:rPr>
        <w:t>个（初创组</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成长组</w:t>
      </w:r>
      <w:r>
        <w:rPr>
          <w:rFonts w:hint="default" w:ascii="Times New Roman" w:hAnsi="Times New Roman" w:eastAsia="仿宋_GB2312" w:cs="Times New Roman"/>
          <w:kern w:val="0"/>
          <w:sz w:val="32"/>
          <w:szCs w:val="32"/>
          <w:highlight w:val="none"/>
          <w:lang w:eastAsia="zh-CN" w:bidi="ar"/>
        </w:rPr>
        <w:t>各</w:t>
      </w:r>
      <w:r>
        <w:rPr>
          <w:rFonts w:hint="default" w:ascii="Times New Roman" w:hAnsi="Times New Roman" w:eastAsia="仿宋_GB2312" w:cs="Times New Roman"/>
          <w:kern w:val="0"/>
          <w:sz w:val="32"/>
          <w:szCs w:val="32"/>
          <w:highlight w:val="none"/>
          <w:lang w:val="en-US" w:eastAsia="zh-CN" w:bidi="ar"/>
        </w:rPr>
        <w:t>30个，潮州特色产业组</w:t>
      </w:r>
      <w:r>
        <w:rPr>
          <w:rFonts w:hint="default" w:ascii="Times New Roman" w:hAnsi="Times New Roman" w:eastAsia="仿宋_GB2312" w:cs="Times New Roman"/>
          <w:kern w:val="0"/>
          <w:sz w:val="32"/>
          <w:szCs w:val="32"/>
          <w:highlight w:val="none"/>
          <w:lang w:eastAsia="zh-CN" w:bidi="ar"/>
        </w:rPr>
        <w:t>2</w:t>
      </w:r>
      <w:r>
        <w:rPr>
          <w:rFonts w:hint="default" w:ascii="Times New Roman" w:hAnsi="Times New Roman" w:eastAsia="仿宋_GB2312" w:cs="Times New Roman"/>
          <w:kern w:val="0"/>
          <w:sz w:val="32"/>
          <w:szCs w:val="32"/>
          <w:highlight w:val="none"/>
          <w:lang w:bidi="ar"/>
        </w:rPr>
        <w:t>0个）</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商标组20个</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地理标志组20个。</w:t>
      </w:r>
    </w:p>
    <w:p w14:paraId="1129B841">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bidi="ar"/>
        </w:rPr>
        <w:t>百强项目公示</w:t>
      </w:r>
      <w:r>
        <w:rPr>
          <w:rFonts w:hint="default" w:ascii="Times New Roman" w:hAnsi="Times New Roman" w:eastAsia="仿宋_GB2312" w:cs="Times New Roman"/>
          <w:kern w:val="0"/>
          <w:sz w:val="32"/>
          <w:szCs w:val="32"/>
          <w:highlight w:val="none"/>
          <w:lang w:eastAsia="zh-CN" w:bidi="ar"/>
        </w:rPr>
        <w:t>。对</w:t>
      </w:r>
      <w:r>
        <w:rPr>
          <w:rFonts w:hint="default" w:ascii="Times New Roman" w:hAnsi="Times New Roman" w:eastAsia="仿宋_GB2312" w:cs="Times New Roman"/>
          <w:kern w:val="0"/>
          <w:sz w:val="32"/>
          <w:szCs w:val="32"/>
          <w:highlight w:val="none"/>
          <w:lang w:bidi="ar"/>
        </w:rPr>
        <w:t>入选第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bidi="ar"/>
        </w:rPr>
        <w:t>百强项目进行公示，公示时间不少于5个工作日。公示无异议的项目进入决赛；公示有异议的项目，由</w:t>
      </w:r>
      <w:r>
        <w:rPr>
          <w:rFonts w:hint="default" w:ascii="Times New Roman" w:hAnsi="Times New Roman" w:eastAsia="仿宋_GB2312" w:cs="Times New Roman"/>
          <w:kern w:val="0"/>
          <w:sz w:val="32"/>
          <w:szCs w:val="32"/>
          <w:highlight w:val="none"/>
          <w:lang w:val="en-US" w:eastAsia="zh-CN" w:bidi="ar"/>
        </w:rPr>
        <w:t>仲裁委员会</w:t>
      </w:r>
      <w:r>
        <w:rPr>
          <w:rFonts w:hint="default" w:ascii="Times New Roman" w:hAnsi="Times New Roman" w:eastAsia="仿宋_GB2312" w:cs="Times New Roman"/>
          <w:kern w:val="0"/>
          <w:sz w:val="32"/>
          <w:szCs w:val="32"/>
          <w:highlight w:val="none"/>
          <w:lang w:bidi="ar"/>
        </w:rPr>
        <w:t>进行核实并判定是否进入决赛。经</w:t>
      </w:r>
      <w:r>
        <w:rPr>
          <w:rFonts w:hint="default" w:ascii="Times New Roman" w:hAnsi="Times New Roman" w:eastAsia="仿宋_GB2312" w:cs="Times New Roman"/>
          <w:kern w:val="0"/>
          <w:sz w:val="32"/>
          <w:szCs w:val="32"/>
          <w:highlight w:val="none"/>
          <w:lang w:val="en-US" w:eastAsia="zh-CN" w:bidi="ar"/>
        </w:rPr>
        <w:t>仲裁委员会</w:t>
      </w:r>
      <w:r>
        <w:rPr>
          <w:rFonts w:hint="default" w:ascii="Times New Roman" w:hAnsi="Times New Roman" w:eastAsia="仿宋_GB2312" w:cs="Times New Roman"/>
          <w:kern w:val="0"/>
          <w:sz w:val="32"/>
          <w:szCs w:val="32"/>
          <w:highlight w:val="none"/>
          <w:lang w:bidi="ar"/>
        </w:rPr>
        <w:t>核实并判定不能进入决赛的，不再安排替补。</w:t>
      </w:r>
    </w:p>
    <w:p w14:paraId="70875A44">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val="en-US" w:eastAsia="zh-CN" w:bidi="ar"/>
        </w:rPr>
        <w:t>（三）“以赛促转、赛训结合”阶段</w:t>
      </w:r>
      <w:r>
        <w:rPr>
          <w:rFonts w:hint="default" w:ascii="Times New Roman" w:hAnsi="Times New Roman" w:eastAsia="楷体_GB2312" w:cs="Times New Roman"/>
          <w:kern w:val="0"/>
          <w:sz w:val="32"/>
          <w:szCs w:val="32"/>
          <w:highlight w:val="none"/>
          <w:lang w:bidi="ar"/>
        </w:rPr>
        <w:t>（202</w:t>
      </w:r>
      <w:r>
        <w:rPr>
          <w:rFonts w:hint="default" w:ascii="Times New Roman" w:hAnsi="Times New Roman" w:eastAsia="楷体_GB2312" w:cs="Times New Roman"/>
          <w:kern w:val="0"/>
          <w:sz w:val="32"/>
          <w:szCs w:val="32"/>
          <w:highlight w:val="none"/>
          <w:lang w:val="en-US" w:eastAsia="zh-CN" w:bidi="ar"/>
        </w:rPr>
        <w:t>6</w:t>
      </w:r>
      <w:r>
        <w:rPr>
          <w:rFonts w:hint="default" w:ascii="Times New Roman" w:hAnsi="Times New Roman" w:eastAsia="楷体_GB2312" w:cs="Times New Roman"/>
          <w:kern w:val="0"/>
          <w:sz w:val="32"/>
          <w:szCs w:val="32"/>
          <w:highlight w:val="none"/>
          <w:lang w:bidi="ar"/>
        </w:rPr>
        <w:t>年</w:t>
      </w:r>
      <w:r>
        <w:rPr>
          <w:rFonts w:hint="default" w:ascii="Times New Roman" w:hAnsi="Times New Roman" w:eastAsia="楷体_GB2312" w:cs="Times New Roman"/>
          <w:kern w:val="0"/>
          <w:sz w:val="32"/>
          <w:szCs w:val="32"/>
          <w:highlight w:val="none"/>
          <w:lang w:val="en-US" w:eastAsia="zh-CN" w:bidi="ar"/>
        </w:rPr>
        <w:t>9</w:t>
      </w:r>
      <w:r>
        <w:rPr>
          <w:rFonts w:hint="default" w:ascii="Times New Roman" w:hAnsi="Times New Roman" w:eastAsia="楷体_GB2312" w:cs="Times New Roman"/>
          <w:kern w:val="0"/>
          <w:sz w:val="32"/>
          <w:szCs w:val="32"/>
          <w:highlight w:val="none"/>
          <w:lang w:bidi="ar"/>
        </w:rPr>
        <w:t>—1</w:t>
      </w:r>
      <w:r>
        <w:rPr>
          <w:rFonts w:hint="default" w:ascii="Times New Roman" w:hAnsi="Times New Roman" w:eastAsia="楷体_GB2312" w:cs="Times New Roman"/>
          <w:kern w:val="0"/>
          <w:sz w:val="32"/>
          <w:szCs w:val="32"/>
          <w:highlight w:val="none"/>
          <w:lang w:val="en-US" w:eastAsia="zh-CN" w:bidi="ar"/>
        </w:rPr>
        <w:t>1</w:t>
      </w:r>
      <w:r>
        <w:rPr>
          <w:rFonts w:hint="default" w:ascii="Times New Roman" w:hAnsi="Times New Roman" w:eastAsia="楷体_GB2312" w:cs="Times New Roman"/>
          <w:kern w:val="0"/>
          <w:sz w:val="32"/>
          <w:szCs w:val="32"/>
          <w:highlight w:val="none"/>
          <w:lang w:bidi="ar"/>
        </w:rPr>
        <w:t>月）</w:t>
      </w:r>
    </w:p>
    <w:p w14:paraId="518EB16F">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1.</w:t>
      </w:r>
      <w:r>
        <w:rPr>
          <w:rFonts w:hint="eastAsia"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赛</w:t>
      </w:r>
      <w:r>
        <w:rPr>
          <w:rFonts w:hint="eastAsia" w:eastAsia="仿宋_GB2312" w:cs="Times New Roman"/>
          <w:kern w:val="0"/>
          <w:sz w:val="32"/>
          <w:szCs w:val="32"/>
          <w:highlight w:val="none"/>
          <w:lang w:eastAsia="zh-CN" w:bidi="ar"/>
        </w:rPr>
        <w:t>训结合”活动</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对晋级决赛的参赛项目</w:t>
      </w:r>
      <w:r>
        <w:rPr>
          <w:rFonts w:hint="default" w:ascii="Times New Roman" w:hAnsi="Times New Roman" w:eastAsia="仿宋_GB2312" w:cs="Times New Roman"/>
          <w:kern w:val="0"/>
          <w:sz w:val="32"/>
          <w:szCs w:val="32"/>
          <w:highlight w:val="none"/>
          <w:lang w:eastAsia="zh-CN" w:bidi="ar"/>
        </w:rPr>
        <w:t>团队或相关人员</w:t>
      </w:r>
      <w:r>
        <w:rPr>
          <w:rFonts w:hint="default" w:ascii="Times New Roman" w:hAnsi="Times New Roman" w:eastAsia="仿宋_GB2312" w:cs="Times New Roman"/>
          <w:kern w:val="0"/>
          <w:sz w:val="32"/>
          <w:szCs w:val="32"/>
          <w:highlight w:val="none"/>
          <w:lang w:bidi="ar"/>
        </w:rPr>
        <w:t>开展</w:t>
      </w:r>
      <w:r>
        <w:rPr>
          <w:rFonts w:hint="default" w:ascii="Times New Roman" w:hAnsi="Times New Roman" w:eastAsia="仿宋_GB2312" w:cs="Times New Roman"/>
          <w:kern w:val="0"/>
          <w:sz w:val="32"/>
          <w:szCs w:val="32"/>
          <w:highlight w:val="none"/>
          <w:lang w:eastAsia="zh-CN" w:bidi="ar"/>
        </w:rPr>
        <w:t>知识产权能力提升系列</w:t>
      </w:r>
      <w:r>
        <w:rPr>
          <w:rFonts w:hint="default" w:ascii="Times New Roman" w:hAnsi="Times New Roman" w:eastAsia="仿宋_GB2312" w:cs="Times New Roman"/>
          <w:kern w:val="0"/>
          <w:sz w:val="32"/>
          <w:szCs w:val="32"/>
          <w:highlight w:val="none"/>
          <w:lang w:bidi="ar"/>
        </w:rPr>
        <w:t>培训。</w:t>
      </w:r>
      <w:bookmarkStart w:id="44" w:name="pindex121"/>
      <w:bookmarkEnd w:id="44"/>
    </w:p>
    <w:p w14:paraId="629172A4">
      <w:pPr>
        <w:autoSpaceDE w:val="0"/>
        <w:adjustRightInd w:val="0"/>
        <w:snapToGrid w:val="0"/>
        <w:spacing w:line="580" w:lineRule="exact"/>
        <w:ind w:firstLine="640" w:firstLineChars="200"/>
        <w:rPr>
          <w:rFonts w:hint="eastAsia" w:eastAsia="仿宋_GB2312" w:cs="Times New Roman"/>
          <w:color w:val="auto"/>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bidi="ar"/>
        </w:rPr>
        <w:t>.</w:t>
      </w:r>
      <w:r>
        <w:rPr>
          <w:rFonts w:hint="eastAsia" w:eastAsia="仿宋_GB2312" w:cs="Times New Roman"/>
          <w:kern w:val="0"/>
          <w:sz w:val="32"/>
          <w:szCs w:val="32"/>
          <w:highlight w:val="none"/>
          <w:lang w:eastAsia="zh-CN" w:bidi="ar"/>
        </w:rPr>
        <w:t>“以赛促转”系列</w:t>
      </w:r>
      <w:r>
        <w:rPr>
          <w:rFonts w:hint="default" w:ascii="Times New Roman" w:hAnsi="Times New Roman" w:eastAsia="仿宋_GB2312" w:cs="Times New Roman"/>
          <w:kern w:val="0"/>
          <w:sz w:val="32"/>
          <w:szCs w:val="32"/>
          <w:highlight w:val="none"/>
          <w:lang w:val="en-US" w:eastAsia="zh-CN" w:bidi="ar"/>
        </w:rPr>
        <w:t>对接活动</w:t>
      </w:r>
      <w:r>
        <w:rPr>
          <w:rFonts w:hint="default" w:ascii="Times New Roman" w:hAnsi="Times New Roman" w:eastAsia="仿宋_GB2312" w:cs="Times New Roman"/>
          <w:kern w:val="0"/>
          <w:sz w:val="32"/>
          <w:szCs w:val="32"/>
          <w:highlight w:val="none"/>
          <w:lang w:eastAsia="zh-CN" w:bidi="ar"/>
        </w:rPr>
        <w:t>。</w:t>
      </w:r>
      <w:r>
        <w:rPr>
          <w:rFonts w:hint="eastAsia" w:eastAsia="仿宋_GB2312" w:cs="Times New Roman"/>
          <w:kern w:val="0"/>
          <w:sz w:val="32"/>
          <w:szCs w:val="32"/>
          <w:highlight w:val="none"/>
          <w:lang w:eastAsia="zh-CN" w:bidi="ar"/>
        </w:rPr>
        <w:t>广泛收集</w:t>
      </w:r>
      <w:r>
        <w:rPr>
          <w:rFonts w:hint="default" w:ascii="Times New Roman" w:hAnsi="Times New Roman" w:eastAsia="仿宋_GB2312" w:cs="Times New Roman"/>
          <w:color w:val="auto"/>
          <w:kern w:val="0"/>
          <w:sz w:val="32"/>
          <w:szCs w:val="32"/>
          <w:highlight w:val="none"/>
          <w:lang w:val="en-US" w:eastAsia="zh-CN" w:bidi="ar"/>
        </w:rPr>
        <w:t>粤东西北各地市</w:t>
      </w:r>
      <w:r>
        <w:rPr>
          <w:rFonts w:hint="eastAsia" w:eastAsia="仿宋_GB2312" w:cs="Times New Roman"/>
          <w:color w:val="auto"/>
          <w:kern w:val="0"/>
          <w:sz w:val="32"/>
          <w:szCs w:val="32"/>
          <w:highlight w:val="none"/>
          <w:lang w:val="en-US" w:eastAsia="zh-CN" w:bidi="ar"/>
        </w:rPr>
        <w:t>产业发展需求及企业技术改进需求，组织省内外高校、科研机构等开展项目路演及精准对接活动，促进一批高价值专利实施转化或产业化。</w:t>
      </w:r>
    </w:p>
    <w:p w14:paraId="1D05AE52">
      <w:pPr>
        <w:autoSpaceDE w:val="0"/>
        <w:adjustRightInd w:val="0"/>
        <w:snapToGrid w:val="0"/>
        <w:spacing w:line="58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eastAsia" w:eastAsia="仿宋_GB2312" w:cs="Times New Roman"/>
          <w:color w:val="auto"/>
          <w:kern w:val="0"/>
          <w:sz w:val="32"/>
          <w:szCs w:val="32"/>
          <w:highlight w:val="none"/>
          <w:lang w:val="en-US" w:eastAsia="zh-CN" w:bidi="ar"/>
        </w:rPr>
        <w:t>3.</w:t>
      </w:r>
      <w:r>
        <w:rPr>
          <w:rFonts w:hint="eastAsia" w:eastAsia="仿宋_GB2312" w:cs="Times New Roman"/>
          <w:kern w:val="0"/>
          <w:sz w:val="32"/>
          <w:szCs w:val="32"/>
          <w:highlight w:val="none"/>
          <w:lang w:eastAsia="zh-CN" w:bidi="ar"/>
        </w:rPr>
        <w:t>“以赛促引、以赛促投”</w:t>
      </w:r>
      <w:r>
        <w:rPr>
          <w:rFonts w:hint="default" w:ascii="Times New Roman" w:hAnsi="Times New Roman" w:eastAsia="仿宋_GB2312" w:cs="Times New Roman"/>
          <w:kern w:val="0"/>
          <w:sz w:val="32"/>
          <w:szCs w:val="32"/>
          <w:highlight w:val="none"/>
          <w:lang w:val="en-US" w:eastAsia="zh-CN" w:bidi="ar"/>
        </w:rPr>
        <w:t>活动</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邀请相关金融机构、</w:t>
      </w:r>
      <w:r>
        <w:rPr>
          <w:rFonts w:hint="eastAsia" w:eastAsia="仿宋_GB2312" w:cs="Times New Roman"/>
          <w:kern w:val="0"/>
          <w:sz w:val="32"/>
          <w:szCs w:val="32"/>
          <w:highlight w:val="none"/>
          <w:lang w:val="en-US" w:eastAsia="zh-CN" w:bidi="ar"/>
        </w:rPr>
        <w:t>龙头</w:t>
      </w:r>
      <w:r>
        <w:rPr>
          <w:rFonts w:hint="default" w:ascii="Times New Roman" w:hAnsi="Times New Roman" w:eastAsia="仿宋_GB2312" w:cs="Times New Roman"/>
          <w:kern w:val="0"/>
          <w:sz w:val="32"/>
          <w:szCs w:val="32"/>
          <w:highlight w:val="none"/>
          <w:lang w:val="en-US" w:eastAsia="zh-CN" w:bidi="ar"/>
        </w:rPr>
        <w:t>企业、知识产权服务机构等，与参赛项目团队</w:t>
      </w:r>
      <w:r>
        <w:rPr>
          <w:rFonts w:hint="eastAsia" w:eastAsia="仿宋_GB2312" w:cs="Times New Roman"/>
          <w:i w:val="0"/>
          <w:iCs w:val="0"/>
          <w:caps w:val="0"/>
          <w:spacing w:val="0"/>
          <w:kern w:val="0"/>
          <w:sz w:val="32"/>
          <w:szCs w:val="32"/>
          <w:highlight w:val="none"/>
          <w:shd w:val="clear" w:color="auto" w:fill="auto"/>
          <w:lang w:eastAsia="zh-CN" w:bidi="ar"/>
        </w:rPr>
        <w:t>进行</w:t>
      </w:r>
      <w:r>
        <w:rPr>
          <w:rFonts w:hint="default" w:ascii="Times New Roman" w:hAnsi="Times New Roman" w:eastAsia="仿宋_GB2312" w:cs="Times New Roman"/>
          <w:i w:val="0"/>
          <w:iCs w:val="0"/>
          <w:caps w:val="0"/>
          <w:color w:val="auto"/>
          <w:spacing w:val="0"/>
          <w:kern w:val="0"/>
          <w:sz w:val="32"/>
          <w:szCs w:val="32"/>
          <w:highlight w:val="none"/>
          <w:shd w:val="clear" w:color="auto" w:fill="auto"/>
          <w:lang w:bidi="ar"/>
        </w:rPr>
        <w:t>对接</w:t>
      </w:r>
      <w:r>
        <w:rPr>
          <w:rFonts w:hint="default" w:ascii="Times New Roman" w:hAnsi="Times New Roman" w:eastAsia="仿宋_GB2312" w:cs="Times New Roman"/>
          <w:color w:val="auto"/>
          <w:kern w:val="0"/>
          <w:sz w:val="32"/>
          <w:szCs w:val="32"/>
          <w:highlight w:val="none"/>
          <w:lang w:val="en-US" w:eastAsia="zh-CN" w:bidi="ar"/>
        </w:rPr>
        <w:t>，</w:t>
      </w:r>
      <w:r>
        <w:rPr>
          <w:rFonts w:hint="eastAsia" w:eastAsia="仿宋_GB2312" w:cs="Times New Roman"/>
          <w:color w:val="auto"/>
          <w:kern w:val="0"/>
          <w:sz w:val="32"/>
          <w:szCs w:val="32"/>
          <w:highlight w:val="none"/>
          <w:lang w:val="en-US" w:eastAsia="zh-CN" w:bidi="ar"/>
        </w:rPr>
        <w:t>组织粤东西北</w:t>
      </w:r>
      <w:r>
        <w:rPr>
          <w:rFonts w:hint="default" w:ascii="Times New Roman" w:hAnsi="Times New Roman" w:eastAsia="仿宋_GB2312" w:cs="Times New Roman"/>
          <w:color w:val="auto"/>
          <w:kern w:val="0"/>
          <w:sz w:val="32"/>
          <w:szCs w:val="32"/>
          <w:highlight w:val="none"/>
          <w:lang w:val="en-US" w:eastAsia="zh-CN" w:bidi="ar"/>
        </w:rPr>
        <w:t>各地</w:t>
      </w:r>
      <w:r>
        <w:rPr>
          <w:rFonts w:hint="eastAsia" w:eastAsia="仿宋_GB2312" w:cs="Times New Roman"/>
          <w:color w:val="auto"/>
          <w:kern w:val="0"/>
          <w:sz w:val="32"/>
          <w:szCs w:val="32"/>
          <w:highlight w:val="none"/>
          <w:lang w:val="en-US" w:eastAsia="zh-CN" w:bidi="ar"/>
        </w:rPr>
        <w:t>市结合自身</w:t>
      </w:r>
      <w:r>
        <w:rPr>
          <w:rFonts w:hint="default" w:ascii="Times New Roman" w:hAnsi="Times New Roman" w:eastAsia="仿宋_GB2312" w:cs="Times New Roman"/>
          <w:color w:val="auto"/>
          <w:kern w:val="0"/>
          <w:sz w:val="32"/>
          <w:szCs w:val="32"/>
          <w:highlight w:val="none"/>
          <w:lang w:val="en-US" w:eastAsia="zh-CN" w:bidi="ar"/>
        </w:rPr>
        <w:t>产业特色开展</w:t>
      </w:r>
      <w:r>
        <w:rPr>
          <w:rFonts w:hint="default" w:ascii="Times New Roman" w:hAnsi="Times New Roman" w:eastAsia="仿宋_GB2312" w:cs="Times New Roman"/>
          <w:kern w:val="0"/>
          <w:sz w:val="32"/>
          <w:szCs w:val="32"/>
          <w:highlight w:val="none"/>
          <w:lang w:val="en-US" w:eastAsia="zh-CN" w:bidi="ar"/>
        </w:rPr>
        <w:t>招商引资、招商引“智”</w:t>
      </w:r>
      <w:r>
        <w:rPr>
          <w:rFonts w:hint="eastAsia" w:eastAsia="仿宋_GB2312" w:cs="Times New Roman"/>
          <w:color w:val="auto"/>
          <w:kern w:val="0"/>
          <w:sz w:val="32"/>
          <w:szCs w:val="32"/>
          <w:highlight w:val="none"/>
          <w:lang w:val="en-US" w:eastAsia="zh-CN" w:bidi="ar"/>
        </w:rPr>
        <w:t>，促进参赛团队相关项目或专利技术与粤东西北龙头企业开展合作或获得金融机构投资。</w:t>
      </w:r>
    </w:p>
    <w:p w14:paraId="15258DCB">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eastAsia="zh-CN" w:bidi="ar"/>
        </w:rPr>
        <w:t>（四）</w:t>
      </w:r>
      <w:r>
        <w:rPr>
          <w:rFonts w:hint="default" w:ascii="Times New Roman" w:hAnsi="Times New Roman" w:eastAsia="楷体_GB2312" w:cs="Times New Roman"/>
          <w:kern w:val="0"/>
          <w:sz w:val="32"/>
          <w:szCs w:val="32"/>
          <w:highlight w:val="none"/>
          <w:lang w:bidi="ar"/>
        </w:rPr>
        <w:t>决赛阶段（202</w:t>
      </w:r>
      <w:r>
        <w:rPr>
          <w:rFonts w:hint="default" w:ascii="Times New Roman" w:hAnsi="Times New Roman" w:eastAsia="楷体_GB2312" w:cs="Times New Roman"/>
          <w:kern w:val="0"/>
          <w:sz w:val="32"/>
          <w:szCs w:val="32"/>
          <w:highlight w:val="none"/>
          <w:lang w:val="en-US" w:eastAsia="zh-CN" w:bidi="ar"/>
        </w:rPr>
        <w:t>6</w:t>
      </w:r>
      <w:r>
        <w:rPr>
          <w:rFonts w:hint="default" w:ascii="Times New Roman" w:hAnsi="Times New Roman" w:eastAsia="楷体_GB2312" w:cs="Times New Roman"/>
          <w:kern w:val="0"/>
          <w:sz w:val="32"/>
          <w:szCs w:val="32"/>
          <w:highlight w:val="none"/>
          <w:lang w:bidi="ar"/>
        </w:rPr>
        <w:t>年</w:t>
      </w:r>
      <w:r>
        <w:rPr>
          <w:rFonts w:hint="default" w:ascii="Times New Roman" w:hAnsi="Times New Roman" w:eastAsia="楷体_GB2312" w:cs="Times New Roman"/>
          <w:kern w:val="0"/>
          <w:sz w:val="32"/>
          <w:szCs w:val="32"/>
          <w:highlight w:val="none"/>
          <w:lang w:val="en-US" w:eastAsia="zh-CN" w:bidi="ar"/>
        </w:rPr>
        <w:t>11</w:t>
      </w:r>
      <w:r>
        <w:rPr>
          <w:rFonts w:hint="default" w:ascii="Times New Roman" w:hAnsi="Times New Roman" w:eastAsia="楷体_GB2312" w:cs="Times New Roman"/>
          <w:kern w:val="0"/>
          <w:sz w:val="32"/>
          <w:szCs w:val="32"/>
          <w:highlight w:val="none"/>
          <w:lang w:bidi="ar"/>
        </w:rPr>
        <w:t>—</w:t>
      </w:r>
      <w:r>
        <w:rPr>
          <w:rFonts w:hint="default" w:ascii="Times New Roman" w:hAnsi="Times New Roman" w:eastAsia="楷体_GB2312" w:cs="Times New Roman"/>
          <w:kern w:val="0"/>
          <w:sz w:val="32"/>
          <w:szCs w:val="32"/>
          <w:highlight w:val="none"/>
          <w:lang w:val="en-US" w:eastAsia="zh-CN" w:bidi="ar"/>
        </w:rPr>
        <w:t>12</w:t>
      </w:r>
      <w:r>
        <w:rPr>
          <w:rFonts w:hint="default" w:ascii="Times New Roman" w:hAnsi="Times New Roman" w:eastAsia="楷体_GB2312" w:cs="Times New Roman"/>
          <w:kern w:val="0"/>
          <w:sz w:val="32"/>
          <w:szCs w:val="32"/>
          <w:highlight w:val="none"/>
          <w:lang w:bidi="ar"/>
        </w:rPr>
        <w:t>月）</w:t>
      </w:r>
    </w:p>
    <w:p w14:paraId="53585315">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1</w:t>
      </w:r>
      <w:r>
        <w:rPr>
          <w:rFonts w:hint="default" w:ascii="Times New Roman" w:hAnsi="Times New Roman" w:eastAsia="仿宋_GB2312" w:cs="Times New Roman"/>
          <w:kern w:val="0"/>
          <w:sz w:val="32"/>
          <w:szCs w:val="32"/>
          <w:highlight w:val="none"/>
          <w:lang w:bidi="ar"/>
        </w:rPr>
        <w:t>.网上投票</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对进入决赛的参赛项目在网络上进行公布，并开通网络投票通道，面向公众发起网络投票，社会大众在规定时间内可对所支持的参赛项目进行投票。</w:t>
      </w:r>
    </w:p>
    <w:p w14:paraId="6D1EB307">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2.决赛项目路演。</w:t>
      </w:r>
      <w:r>
        <w:rPr>
          <w:rFonts w:hint="default" w:ascii="Times New Roman" w:hAnsi="Times New Roman" w:eastAsia="仿宋_GB2312" w:cs="Times New Roman"/>
          <w:kern w:val="0"/>
          <w:sz w:val="32"/>
          <w:szCs w:val="32"/>
          <w:highlight w:val="none"/>
          <w:lang w:bidi="ar"/>
        </w:rPr>
        <w:t>进入决赛的参赛项目进行路演，每个项目路演时间为10分钟</w:t>
      </w:r>
      <w:r>
        <w:rPr>
          <w:rFonts w:hint="default" w:ascii="Times New Roman" w:hAnsi="Times New Roman" w:eastAsia="仿宋_GB2312" w:cs="Times New Roman"/>
          <w:kern w:val="0"/>
          <w:sz w:val="32"/>
          <w:szCs w:val="32"/>
          <w:highlight w:val="none"/>
          <w:lang w:eastAsia="zh-CN" w:bidi="ar"/>
        </w:rPr>
        <w:t>。</w:t>
      </w:r>
    </w:p>
    <w:p w14:paraId="576C0FED">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专利</w:t>
      </w:r>
      <w:r>
        <w:rPr>
          <w:rFonts w:hint="default" w:ascii="Times New Roman" w:hAnsi="Times New Roman" w:eastAsia="仿宋_GB2312" w:cs="Times New Roman"/>
          <w:kern w:val="0"/>
          <w:sz w:val="32"/>
          <w:szCs w:val="32"/>
          <w:highlight w:val="none"/>
          <w:lang w:val="en-US" w:eastAsia="zh-CN" w:bidi="ar"/>
        </w:rPr>
        <w:t>初创、成长</w:t>
      </w:r>
      <w:r>
        <w:rPr>
          <w:rFonts w:hint="default" w:ascii="Times New Roman" w:hAnsi="Times New Roman" w:eastAsia="仿宋_GB2312" w:cs="Times New Roman"/>
          <w:kern w:val="0"/>
          <w:sz w:val="32"/>
          <w:szCs w:val="32"/>
          <w:highlight w:val="none"/>
          <w:lang w:bidi="ar"/>
        </w:rPr>
        <w:t>组路演重点包括：参赛项目牵头单位及主要单位研发创新、知识产权建设情况，参赛核心专利技术的质量情况及专利布局情况，专利转化运用、产业化情况及转化效益情况，专利技术的市场前景情况等。</w:t>
      </w:r>
      <w:bookmarkStart w:id="45" w:name="pindex123"/>
      <w:bookmarkEnd w:id="45"/>
    </w:p>
    <w:p w14:paraId="6C95505F">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专利潮州特色产业（智能卫浴</w:t>
      </w:r>
      <w:r>
        <w:rPr>
          <w:rFonts w:hint="eastAsia" w:eastAsia="仿宋_GB2312" w:cs="Times New Roman"/>
          <w:kern w:val="0"/>
          <w:sz w:val="32"/>
          <w:szCs w:val="32"/>
          <w:highlight w:val="none"/>
          <w:lang w:val="en-US" w:eastAsia="zh-CN" w:bidi="ar"/>
        </w:rPr>
        <w:t>产业</w:t>
      </w:r>
      <w:r>
        <w:rPr>
          <w:rFonts w:hint="default" w:ascii="Times New Roman" w:hAnsi="Times New Roman" w:eastAsia="仿宋_GB2312" w:cs="Times New Roman"/>
          <w:kern w:val="0"/>
          <w:sz w:val="32"/>
          <w:szCs w:val="32"/>
          <w:highlight w:val="none"/>
          <w:lang w:val="en-US" w:eastAsia="zh-CN" w:bidi="ar"/>
        </w:rPr>
        <w:t>）赛道</w:t>
      </w:r>
      <w:r>
        <w:rPr>
          <w:rFonts w:hint="default" w:ascii="Times New Roman" w:hAnsi="Times New Roman" w:eastAsia="仿宋_GB2312" w:cs="Times New Roman"/>
          <w:kern w:val="0"/>
          <w:sz w:val="32"/>
          <w:szCs w:val="32"/>
          <w:highlight w:val="none"/>
          <w:lang w:bidi="ar"/>
        </w:rPr>
        <w:t>路演重点包括</w:t>
      </w:r>
      <w:r>
        <w:rPr>
          <w:rFonts w:hint="default"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bidi="ar"/>
        </w:rPr>
        <w:t>参赛项目牵头单位及主要单位</w:t>
      </w:r>
      <w:r>
        <w:rPr>
          <w:rFonts w:hint="default" w:ascii="Times New Roman" w:hAnsi="Times New Roman" w:eastAsia="仿宋_GB2312" w:cs="Times New Roman"/>
          <w:kern w:val="0"/>
          <w:sz w:val="32"/>
          <w:szCs w:val="32"/>
          <w:highlight w:val="none"/>
          <w:lang w:val="en-US" w:eastAsia="zh-CN" w:bidi="ar"/>
        </w:rPr>
        <w:t>科研团队能力、</w:t>
      </w:r>
      <w:r>
        <w:rPr>
          <w:rFonts w:hint="default" w:ascii="Times New Roman" w:hAnsi="Times New Roman" w:eastAsia="仿宋_GB2312" w:cs="Times New Roman"/>
          <w:kern w:val="0"/>
          <w:sz w:val="32"/>
          <w:szCs w:val="32"/>
          <w:highlight w:val="none"/>
          <w:lang w:bidi="ar"/>
        </w:rPr>
        <w:t>研发创新</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知识产权建设情况，参赛核心专利技术的质量情况及专利布局情况，专利转化运用、产业化情况及转化效益情况，专利技术的市场前景情况等。</w:t>
      </w:r>
    </w:p>
    <w:p w14:paraId="42844E6B">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商标组路演重点包括：参赛项目牵头单位及主要单位商标品牌建设情况，商标培育、品牌规划及布局情况，品牌保护、品牌运营及推广等情况，商标品牌转化收益等情况。</w:t>
      </w:r>
    </w:p>
    <w:p w14:paraId="5FC62ABD">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地理标志组路演重点包括：参赛项目牵头单位及主要单位地理标志管理及地理标志品牌建设情况，地理标志文化传承、质量监管、产品特色情况，地理标志品牌推广、市场营收、商业运营等情况，地理标志转化效益</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营业销售、推介渠道</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等情况。</w:t>
      </w:r>
    </w:p>
    <w:p w14:paraId="0688832E">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3</w:t>
      </w:r>
      <w:r>
        <w:rPr>
          <w:rFonts w:hint="default" w:ascii="Times New Roman" w:hAnsi="Times New Roman" w:eastAsia="仿宋_GB2312" w:cs="Times New Roman"/>
          <w:kern w:val="0"/>
          <w:sz w:val="32"/>
          <w:szCs w:val="32"/>
          <w:highlight w:val="none"/>
          <w:lang w:bidi="ar"/>
        </w:rPr>
        <w:t>.现场答辩</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参赛项目路演结束后，</w:t>
      </w:r>
      <w:r>
        <w:rPr>
          <w:rFonts w:hint="default" w:ascii="Times New Roman" w:hAnsi="Times New Roman" w:eastAsia="仿宋_GB2312" w:cs="Times New Roman"/>
          <w:kern w:val="0"/>
          <w:sz w:val="32"/>
          <w:szCs w:val="32"/>
          <w:highlight w:val="none"/>
          <w:lang w:val="en-US" w:eastAsia="zh-CN" w:bidi="ar"/>
        </w:rPr>
        <w:t>由参赛项目代表从问题库中随机抽取问题，进行现场答辩</w:t>
      </w:r>
      <w:r>
        <w:rPr>
          <w:rFonts w:hint="default" w:ascii="Times New Roman" w:hAnsi="Times New Roman" w:eastAsia="仿宋_GB2312" w:cs="Times New Roman"/>
          <w:kern w:val="0"/>
          <w:sz w:val="32"/>
          <w:szCs w:val="32"/>
          <w:highlight w:val="none"/>
          <w:lang w:bidi="ar"/>
        </w:rPr>
        <w:t>，答辩时间为5分钟（包括思考时间）。</w:t>
      </w:r>
      <w:bookmarkStart w:id="46" w:name="pindex127"/>
      <w:bookmarkEnd w:id="46"/>
    </w:p>
    <w:p w14:paraId="4EC26A04">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eastAsia"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bidi="ar"/>
        </w:rPr>
        <w:t>评审打分</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评审打分部分由</w:t>
      </w:r>
      <w:r>
        <w:rPr>
          <w:rFonts w:hint="default" w:ascii="Times New Roman" w:hAnsi="Times New Roman" w:eastAsia="仿宋_GB2312" w:cs="Times New Roman"/>
          <w:kern w:val="0"/>
          <w:sz w:val="32"/>
          <w:szCs w:val="32"/>
          <w:highlight w:val="none"/>
          <w:lang w:bidi="ar"/>
        </w:rPr>
        <w:t>评审专家根据决赛阶段评分</w:t>
      </w:r>
      <w:r>
        <w:rPr>
          <w:rFonts w:hint="default" w:ascii="Times New Roman" w:hAnsi="Times New Roman" w:eastAsia="仿宋_GB2312" w:cs="Times New Roman"/>
          <w:kern w:val="0"/>
          <w:sz w:val="32"/>
          <w:szCs w:val="32"/>
          <w:highlight w:val="none"/>
          <w:lang w:val="en-US" w:eastAsia="zh-CN" w:bidi="ar"/>
        </w:rPr>
        <w:t>标准、项目路演情况、现场答辩情况以及网络投票分，共同构成得分，</w:t>
      </w:r>
      <w:r>
        <w:rPr>
          <w:rFonts w:hint="default" w:ascii="Times New Roman" w:hAnsi="Times New Roman" w:eastAsia="仿宋_GB2312" w:cs="Times New Roman"/>
          <w:kern w:val="0"/>
          <w:sz w:val="32"/>
          <w:szCs w:val="32"/>
          <w:highlight w:val="none"/>
          <w:lang w:bidi="ar"/>
        </w:rPr>
        <w:t>根据项目最终得分综合评定获奖项目。</w:t>
      </w:r>
    </w:p>
    <w:p w14:paraId="74A3BF5A">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项目最终得分=决赛</w:t>
      </w:r>
      <w:r>
        <w:rPr>
          <w:rFonts w:hint="default" w:ascii="Times New Roman" w:hAnsi="Times New Roman" w:eastAsia="仿宋_GB2312" w:cs="Times New Roman"/>
          <w:kern w:val="0"/>
          <w:sz w:val="32"/>
          <w:szCs w:val="32"/>
          <w:highlight w:val="none"/>
          <w:lang w:eastAsia="zh-CN" w:bidi="ar"/>
        </w:rPr>
        <w:t>材料评审</w:t>
      </w:r>
      <w:r>
        <w:rPr>
          <w:rFonts w:hint="default" w:ascii="Times New Roman" w:hAnsi="Times New Roman" w:eastAsia="仿宋_GB2312" w:cs="Times New Roman"/>
          <w:kern w:val="0"/>
          <w:sz w:val="32"/>
          <w:szCs w:val="32"/>
          <w:highlight w:val="none"/>
          <w:lang w:bidi="ar"/>
        </w:rPr>
        <w:t>得分×</w:t>
      </w:r>
      <w:r>
        <w:rPr>
          <w:rFonts w:hint="default" w:ascii="Times New Roman" w:hAnsi="Times New Roman" w:eastAsia="仿宋_GB2312" w:cs="Times New Roman"/>
          <w:kern w:val="0"/>
          <w:sz w:val="32"/>
          <w:szCs w:val="32"/>
          <w:highlight w:val="none"/>
          <w:lang w:val="en-US" w:eastAsia="zh-CN" w:bidi="ar"/>
        </w:rPr>
        <w:t>50</w:t>
      </w:r>
      <w:r>
        <w:rPr>
          <w:rFonts w:hint="default" w:ascii="Times New Roman" w:hAnsi="Times New Roman" w:eastAsia="仿宋_GB2312" w:cs="Times New Roman"/>
          <w:kern w:val="0"/>
          <w:sz w:val="32"/>
          <w:szCs w:val="32"/>
          <w:highlight w:val="none"/>
          <w:lang w:bidi="ar"/>
        </w:rPr>
        <w:t>%</w:t>
      </w:r>
      <w:r>
        <w:rPr>
          <w:rFonts w:hint="default"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bidi="ar"/>
        </w:rPr>
        <w:t>项目路演×</w:t>
      </w:r>
      <w:r>
        <w:rPr>
          <w:rFonts w:hint="default" w:ascii="Times New Roman" w:hAnsi="Times New Roman" w:eastAsia="仿宋_GB2312" w:cs="Times New Roman"/>
          <w:kern w:val="0"/>
          <w:sz w:val="32"/>
          <w:szCs w:val="32"/>
          <w:highlight w:val="none"/>
          <w:lang w:val="en-US" w:eastAsia="zh-CN" w:bidi="ar"/>
        </w:rPr>
        <w:t>25</w:t>
      </w:r>
      <w:r>
        <w:rPr>
          <w:rFonts w:hint="default" w:ascii="Times New Roman" w:hAnsi="Times New Roman" w:eastAsia="仿宋_GB2312" w:cs="Times New Roman"/>
          <w:kern w:val="0"/>
          <w:sz w:val="32"/>
          <w:szCs w:val="32"/>
          <w:highlight w:val="none"/>
          <w:lang w:bidi="ar"/>
        </w:rPr>
        <w:t>%+现场答辩×5%+初赛得分×20%。</w:t>
      </w:r>
    </w:p>
    <w:p w14:paraId="1950784E">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en-US" w:eastAsia="zh-CN" w:bidi="ar"/>
        </w:rPr>
      </w:pPr>
      <w:r>
        <w:rPr>
          <w:rFonts w:hint="eastAsia"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bidi="ar"/>
        </w:rPr>
        <w:t>公示及获奖名单确定</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获奖项目通过大赛官网、公众号等进行公示，公示时间不少于5个工作日。经公示有异议的项目，由仲裁委员会审核，异议理由成立的，取消该项目进入获奖名单的资格，并按分数增补项目，增补项目公示时间不少于5个工作日。</w:t>
      </w:r>
      <w:r>
        <w:rPr>
          <w:rFonts w:hint="default" w:ascii="Times New Roman" w:hAnsi="Times New Roman" w:eastAsia="仿宋_GB2312" w:cs="Times New Roman"/>
          <w:kern w:val="0"/>
          <w:sz w:val="32"/>
          <w:szCs w:val="32"/>
          <w:highlight w:val="none"/>
          <w:lang w:val="en-US" w:eastAsia="zh-CN" w:bidi="ar"/>
        </w:rPr>
        <w:t>如存在异议理由不合理或不成立的情况，由仲裁委员会决定予以否决。</w:t>
      </w:r>
      <w:r>
        <w:rPr>
          <w:rFonts w:hint="default" w:ascii="Times New Roman" w:hAnsi="Times New Roman" w:eastAsia="仿宋_GB2312" w:cs="Times New Roman"/>
          <w:kern w:val="0"/>
          <w:sz w:val="32"/>
          <w:szCs w:val="32"/>
          <w:highlight w:val="none"/>
          <w:lang w:bidi="ar"/>
        </w:rPr>
        <w:t>经公示无异议</w:t>
      </w:r>
      <w:r>
        <w:rPr>
          <w:rFonts w:hint="default" w:ascii="Times New Roman" w:hAnsi="Times New Roman" w:eastAsia="仿宋_GB2312" w:cs="Times New Roman"/>
          <w:kern w:val="0"/>
          <w:sz w:val="32"/>
          <w:szCs w:val="32"/>
          <w:highlight w:val="none"/>
          <w:lang w:val="en-US" w:eastAsia="zh-CN" w:bidi="ar"/>
        </w:rPr>
        <w:t>或存在异议理由不合理或不成立</w:t>
      </w:r>
      <w:r>
        <w:rPr>
          <w:rFonts w:hint="default" w:ascii="Times New Roman" w:hAnsi="Times New Roman" w:eastAsia="仿宋_GB2312" w:cs="Times New Roman"/>
          <w:kern w:val="0"/>
          <w:sz w:val="32"/>
          <w:szCs w:val="32"/>
          <w:highlight w:val="none"/>
          <w:lang w:bidi="ar"/>
        </w:rPr>
        <w:t>的项目</w:t>
      </w:r>
      <w:r>
        <w:rPr>
          <w:rFonts w:hint="default" w:ascii="Times New Roman" w:hAnsi="Times New Roman" w:eastAsia="仿宋_GB2312" w:cs="Times New Roman"/>
          <w:kern w:val="0"/>
          <w:sz w:val="32"/>
          <w:szCs w:val="32"/>
          <w:highlight w:val="none"/>
          <w:lang w:val="en-US" w:eastAsia="zh-CN" w:bidi="ar"/>
        </w:rPr>
        <w:t>正常排名</w:t>
      </w:r>
      <w:r>
        <w:rPr>
          <w:rFonts w:hint="default" w:ascii="Times New Roman" w:hAnsi="Times New Roman" w:eastAsia="仿宋_GB2312" w:cs="Times New Roman"/>
          <w:kern w:val="0"/>
          <w:sz w:val="32"/>
          <w:szCs w:val="32"/>
          <w:highlight w:val="none"/>
          <w:lang w:bidi="ar"/>
        </w:rPr>
        <w:t>，确定</w:t>
      </w:r>
      <w:r>
        <w:rPr>
          <w:rFonts w:hint="default" w:ascii="Times New Roman" w:hAnsi="Times New Roman" w:eastAsia="仿宋_GB2312" w:cs="Times New Roman"/>
          <w:kern w:val="0"/>
          <w:sz w:val="32"/>
          <w:szCs w:val="32"/>
          <w:highlight w:val="none"/>
          <w:lang w:val="en-US" w:eastAsia="zh-CN" w:bidi="ar"/>
        </w:rPr>
        <w:t>为</w:t>
      </w:r>
      <w:r>
        <w:rPr>
          <w:rFonts w:hint="default" w:ascii="Times New Roman" w:hAnsi="Times New Roman" w:eastAsia="仿宋_GB2312" w:cs="Times New Roman"/>
          <w:kern w:val="0"/>
          <w:sz w:val="32"/>
          <w:szCs w:val="32"/>
          <w:highlight w:val="none"/>
          <w:lang w:bidi="ar"/>
        </w:rPr>
        <w:t>最终获奖名单。</w:t>
      </w:r>
    </w:p>
    <w:p w14:paraId="3ADAC6EA">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eastAsia"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bidi="ar"/>
        </w:rPr>
        <w:t>.现场</w:t>
      </w:r>
      <w:r>
        <w:rPr>
          <w:rFonts w:hint="default" w:ascii="Times New Roman" w:hAnsi="Times New Roman" w:eastAsia="仿宋_GB2312" w:cs="Times New Roman"/>
          <w:kern w:val="0"/>
          <w:sz w:val="32"/>
          <w:szCs w:val="32"/>
          <w:highlight w:val="none"/>
          <w:lang w:val="en-US" w:eastAsia="zh-CN" w:bidi="ar"/>
        </w:rPr>
        <w:t>活动对接</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重点针对百强项目开展精准专场对接活动。</w:t>
      </w:r>
      <w:r>
        <w:rPr>
          <w:rFonts w:hint="default" w:ascii="Times New Roman" w:hAnsi="Times New Roman" w:eastAsia="仿宋_GB2312" w:cs="Times New Roman"/>
          <w:kern w:val="0"/>
          <w:sz w:val="32"/>
          <w:szCs w:val="32"/>
          <w:highlight w:val="none"/>
          <w:lang w:bidi="ar"/>
        </w:rPr>
        <w:t>决赛现场将邀请相关部门、产业园区、上下游企业、投融资机构、服务机构等组成观摩团，现场观看项目路演，与有意向的项目对接交流，进一步推进优秀项目的成果转化运用。</w:t>
      </w:r>
      <w:bookmarkStart w:id="47" w:name="pindex130"/>
      <w:bookmarkEnd w:id="47"/>
    </w:p>
    <w:p w14:paraId="3B7CDF95">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现场同步举办商标地标展销、产业对接、结对帮扶等配套活动，推动项目转化落地。</w:t>
      </w:r>
    </w:p>
    <w:p w14:paraId="5CDEC63D">
      <w:pPr>
        <w:numPr>
          <w:ilvl w:val="0"/>
          <w:numId w:val="0"/>
        </w:numPr>
        <w:autoSpaceDE/>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w:t>
      </w:r>
      <w:r>
        <w:rPr>
          <w:rFonts w:hint="eastAsia" w:ascii="Times New Roman" w:hAnsi="Times New Roman" w:eastAsia="楷体_GB2312" w:cs="Times New Roman"/>
          <w:kern w:val="0"/>
          <w:sz w:val="32"/>
          <w:szCs w:val="32"/>
          <w:highlight w:val="none"/>
          <w:lang w:val="en-US" w:eastAsia="zh-CN" w:bidi="ar"/>
        </w:rPr>
        <w:t>五</w:t>
      </w:r>
      <w:r>
        <w:rPr>
          <w:rFonts w:hint="default" w:ascii="Times New Roman" w:hAnsi="Times New Roman" w:eastAsia="楷体_GB2312" w:cs="Times New Roman"/>
          <w:kern w:val="0"/>
          <w:sz w:val="32"/>
          <w:szCs w:val="32"/>
          <w:highlight w:val="none"/>
          <w:lang w:bidi="ar"/>
        </w:rPr>
        <w:t>）</w:t>
      </w:r>
      <w:r>
        <w:rPr>
          <w:rFonts w:hint="default" w:ascii="Times New Roman" w:hAnsi="Times New Roman" w:eastAsia="楷体_GB2312" w:cs="Times New Roman"/>
          <w:kern w:val="0"/>
          <w:sz w:val="32"/>
          <w:szCs w:val="32"/>
          <w:highlight w:val="none"/>
          <w:lang w:val="en-US" w:eastAsia="zh-CN" w:bidi="ar"/>
        </w:rPr>
        <w:t>颁奖</w:t>
      </w:r>
      <w:r>
        <w:rPr>
          <w:rFonts w:hint="default" w:ascii="Times New Roman" w:hAnsi="Times New Roman" w:eastAsia="楷体_GB2312" w:cs="Times New Roman"/>
          <w:kern w:val="0"/>
          <w:sz w:val="32"/>
          <w:szCs w:val="32"/>
          <w:highlight w:val="none"/>
          <w:lang w:bidi="ar"/>
        </w:rPr>
        <w:t>阶段（202</w:t>
      </w:r>
      <w:r>
        <w:rPr>
          <w:rFonts w:hint="default" w:ascii="Times New Roman" w:hAnsi="Times New Roman" w:eastAsia="楷体_GB2312" w:cs="Times New Roman"/>
          <w:kern w:val="0"/>
          <w:sz w:val="32"/>
          <w:szCs w:val="32"/>
          <w:highlight w:val="none"/>
          <w:lang w:val="en-US" w:eastAsia="zh-CN" w:bidi="ar"/>
        </w:rPr>
        <w:t>6</w:t>
      </w:r>
      <w:r>
        <w:rPr>
          <w:rFonts w:hint="default" w:ascii="Times New Roman" w:hAnsi="Times New Roman" w:eastAsia="楷体_GB2312" w:cs="Times New Roman"/>
          <w:kern w:val="0"/>
          <w:sz w:val="32"/>
          <w:szCs w:val="32"/>
          <w:highlight w:val="none"/>
          <w:lang w:bidi="ar"/>
        </w:rPr>
        <w:t>年</w:t>
      </w:r>
      <w:r>
        <w:rPr>
          <w:rFonts w:hint="default" w:ascii="Times New Roman" w:hAnsi="Times New Roman" w:eastAsia="楷体_GB2312" w:cs="Times New Roman"/>
          <w:kern w:val="0"/>
          <w:sz w:val="32"/>
          <w:szCs w:val="32"/>
          <w:highlight w:val="none"/>
          <w:lang w:val="en-US" w:eastAsia="zh-CN" w:bidi="ar"/>
        </w:rPr>
        <w:t>12</w:t>
      </w:r>
      <w:r>
        <w:rPr>
          <w:rFonts w:hint="default" w:ascii="Times New Roman" w:hAnsi="Times New Roman" w:eastAsia="楷体_GB2312" w:cs="Times New Roman"/>
          <w:kern w:val="0"/>
          <w:sz w:val="32"/>
          <w:szCs w:val="32"/>
          <w:highlight w:val="none"/>
          <w:lang w:bidi="ar"/>
        </w:rPr>
        <w:t>月）</w:t>
      </w:r>
    </w:p>
    <w:p w14:paraId="7D46A8A0">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大赛颁奖</w:t>
      </w:r>
      <w:r>
        <w:rPr>
          <w:rFonts w:hint="eastAsia" w:eastAsia="仿宋_GB2312" w:cs="Times New Roman"/>
          <w:kern w:val="0"/>
          <w:sz w:val="32"/>
          <w:szCs w:val="32"/>
          <w:highlight w:val="none"/>
          <w:lang w:eastAsia="zh-CN" w:bidi="ar"/>
        </w:rPr>
        <w:t>仪式计划</w:t>
      </w:r>
      <w:r>
        <w:rPr>
          <w:rFonts w:hint="default" w:ascii="Times New Roman" w:hAnsi="Times New Roman" w:eastAsia="仿宋_GB2312" w:cs="Times New Roman"/>
          <w:kern w:val="0"/>
          <w:sz w:val="32"/>
          <w:szCs w:val="32"/>
          <w:highlight w:val="none"/>
          <w:lang w:bidi="ar"/>
        </w:rPr>
        <w:t>于12月举行，对获奖单位进行</w:t>
      </w:r>
      <w:r>
        <w:rPr>
          <w:rFonts w:hint="eastAsia" w:eastAsia="仿宋_GB2312" w:cs="Times New Roman"/>
          <w:kern w:val="0"/>
          <w:sz w:val="32"/>
          <w:szCs w:val="32"/>
          <w:highlight w:val="none"/>
          <w:lang w:eastAsia="zh-CN" w:bidi="ar"/>
        </w:rPr>
        <w:t>颁奖</w:t>
      </w:r>
      <w:r>
        <w:rPr>
          <w:rFonts w:hint="default" w:ascii="Times New Roman" w:hAnsi="Times New Roman" w:eastAsia="仿宋_GB2312" w:cs="Times New Roman"/>
          <w:kern w:val="0"/>
          <w:sz w:val="32"/>
          <w:szCs w:val="32"/>
          <w:highlight w:val="none"/>
          <w:lang w:bidi="ar"/>
        </w:rPr>
        <w:t>，总结大赛经验，发放大赛奖金。</w:t>
      </w:r>
      <w:bookmarkStart w:id="48" w:name="pindex131"/>
      <w:bookmarkEnd w:id="48"/>
    </w:p>
    <w:p w14:paraId="5BADDAA0">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同步在颁奖现场打造第四届粤创赛优秀成果展示区、潮州特色产业展示区等，邀请参赛企业、知识产权服务机构、投融资机构、龙头企业、潮州特色产业参展，集中展示优秀创新项目、产品特色与转化成果，打造线下宣传与成果对接长效平台，持续推动获奖项目在粤东西北</w:t>
      </w:r>
      <w:r>
        <w:rPr>
          <w:rFonts w:hint="eastAsia" w:eastAsia="仿宋_GB2312" w:cs="Times New Roman"/>
          <w:kern w:val="0"/>
          <w:sz w:val="32"/>
          <w:szCs w:val="32"/>
          <w:highlight w:val="none"/>
          <w:lang w:val="en-US" w:eastAsia="zh-CN" w:bidi="ar"/>
        </w:rPr>
        <w:t>地区</w:t>
      </w:r>
      <w:r>
        <w:rPr>
          <w:rFonts w:hint="default" w:ascii="Times New Roman" w:hAnsi="Times New Roman" w:eastAsia="仿宋_GB2312" w:cs="Times New Roman"/>
          <w:kern w:val="0"/>
          <w:sz w:val="32"/>
          <w:szCs w:val="32"/>
          <w:highlight w:val="none"/>
          <w:lang w:val="en-US" w:eastAsia="zh-CN" w:bidi="ar"/>
        </w:rPr>
        <w:t>落地转化。</w:t>
      </w:r>
    </w:p>
    <w:p w14:paraId="0A7AA2A3">
      <w:pPr>
        <w:adjustRightInd w:val="0"/>
        <w:snapToGrid w:val="0"/>
        <w:spacing w:line="58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六</w:t>
      </w:r>
      <w:r>
        <w:rPr>
          <w:rFonts w:hint="default" w:ascii="Times New Roman" w:hAnsi="Times New Roman" w:eastAsia="黑体" w:cs="Times New Roman"/>
          <w:kern w:val="0"/>
          <w:sz w:val="32"/>
          <w:szCs w:val="32"/>
          <w:highlight w:val="none"/>
          <w:lang w:val="zh-CN"/>
        </w:rPr>
        <w:t>、</w:t>
      </w:r>
      <w:r>
        <w:rPr>
          <w:rFonts w:hint="default" w:ascii="Times New Roman" w:hAnsi="Times New Roman" w:eastAsia="黑体" w:cs="Times New Roman"/>
          <w:kern w:val="0"/>
          <w:sz w:val="32"/>
          <w:szCs w:val="32"/>
          <w:highlight w:val="none"/>
        </w:rPr>
        <w:t>奖励激励</w:t>
      </w:r>
      <w:r>
        <w:rPr>
          <w:rFonts w:hint="default" w:ascii="Times New Roman" w:hAnsi="Times New Roman" w:eastAsia="黑体" w:cs="Times New Roman"/>
          <w:kern w:val="0"/>
          <w:sz w:val="32"/>
          <w:szCs w:val="32"/>
          <w:highlight w:val="none"/>
          <w:lang w:bidi="ar"/>
        </w:rPr>
        <w:t>及成果运用</w:t>
      </w:r>
      <w:bookmarkStart w:id="49" w:name="pindex132"/>
      <w:bookmarkEnd w:id="49"/>
    </w:p>
    <w:p w14:paraId="7A70A74A">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val="zh-CN" w:bidi="ar"/>
        </w:rPr>
        <w:t>（一）奖项设置及奖金激励</w:t>
      </w:r>
      <w:bookmarkStart w:id="50" w:name="pindex133"/>
      <w:bookmarkEnd w:id="50"/>
    </w:p>
    <w:p w14:paraId="6EC3BCDE">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zh-CN" w:bidi="ar"/>
        </w:rPr>
        <w:t>1.百强奖。百强榜获奖单位，颁发相应获奖证书。</w:t>
      </w:r>
      <w:bookmarkStart w:id="51" w:name="pindex134"/>
      <w:bookmarkEnd w:id="51"/>
    </w:p>
    <w:p w14:paraId="1E32567A">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zh-CN" w:eastAsia="zh-CN" w:bidi="ar"/>
        </w:rPr>
      </w:pPr>
      <w:r>
        <w:rPr>
          <w:rFonts w:hint="default" w:ascii="Times New Roman" w:hAnsi="Times New Roman" w:eastAsia="仿宋_GB2312" w:cs="Times New Roman"/>
          <w:kern w:val="0"/>
          <w:sz w:val="32"/>
          <w:szCs w:val="32"/>
          <w:highlight w:val="none"/>
          <w:lang w:val="zh-CN" w:bidi="ar"/>
        </w:rPr>
        <w:t>2.金奖、银奖、</w:t>
      </w:r>
      <w:r>
        <w:rPr>
          <w:rFonts w:hint="default" w:ascii="Times New Roman" w:hAnsi="Times New Roman" w:eastAsia="仿宋_GB2312" w:cs="Times New Roman"/>
          <w:kern w:val="0"/>
          <w:sz w:val="32"/>
          <w:szCs w:val="32"/>
          <w:highlight w:val="none"/>
          <w:lang w:val="en-US" w:eastAsia="zh-CN" w:bidi="ar"/>
        </w:rPr>
        <w:t>优秀奖</w:t>
      </w:r>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val="en-US" w:eastAsia="zh-CN" w:bidi="ar"/>
        </w:rPr>
        <w:t>第四届粤创赛</w:t>
      </w:r>
      <w:r>
        <w:rPr>
          <w:rFonts w:hint="default" w:ascii="Times New Roman" w:hAnsi="Times New Roman" w:eastAsia="仿宋_GB2312" w:cs="Times New Roman"/>
          <w:kern w:val="0"/>
          <w:sz w:val="32"/>
          <w:szCs w:val="32"/>
          <w:highlight w:val="none"/>
          <w:lang w:val="zh-CN" w:eastAsia="zh-CN" w:bidi="ar"/>
        </w:rPr>
        <w:t>设金奖、银奖、优秀奖共</w:t>
      </w:r>
      <w:r>
        <w:rPr>
          <w:rFonts w:hint="default" w:ascii="Times New Roman" w:hAnsi="Times New Roman" w:eastAsia="仿宋_GB2312" w:cs="Times New Roman"/>
          <w:kern w:val="0"/>
          <w:sz w:val="32"/>
          <w:szCs w:val="32"/>
          <w:highlight w:val="none"/>
          <w:lang w:val="en-US" w:eastAsia="zh-CN" w:bidi="ar"/>
        </w:rPr>
        <w:t>65</w:t>
      </w:r>
      <w:r>
        <w:rPr>
          <w:rFonts w:hint="default" w:ascii="Times New Roman" w:hAnsi="Times New Roman" w:eastAsia="仿宋_GB2312" w:cs="Times New Roman"/>
          <w:kern w:val="0"/>
          <w:sz w:val="32"/>
          <w:szCs w:val="32"/>
          <w:highlight w:val="none"/>
          <w:lang w:val="zh-CN" w:eastAsia="zh-CN" w:bidi="ar"/>
        </w:rPr>
        <w:t>项。</w:t>
      </w:r>
    </w:p>
    <w:p w14:paraId="17B3B898">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zh-CN" w:bidi="ar"/>
        </w:rPr>
      </w:pPr>
      <w:r>
        <w:rPr>
          <w:rFonts w:hint="default" w:ascii="Times New Roman" w:hAnsi="Times New Roman" w:eastAsia="仿宋_GB2312" w:cs="Times New Roman"/>
          <w:kern w:val="0"/>
          <w:sz w:val="32"/>
          <w:szCs w:val="32"/>
          <w:highlight w:val="none"/>
          <w:lang w:val="en-US" w:eastAsia="zh-CN" w:bidi="ar"/>
        </w:rPr>
        <w:t>设</w:t>
      </w:r>
      <w:r>
        <w:rPr>
          <w:rFonts w:hint="default" w:ascii="Times New Roman" w:hAnsi="Times New Roman" w:eastAsia="仿宋_GB2312" w:cs="Times New Roman"/>
          <w:kern w:val="0"/>
          <w:sz w:val="32"/>
          <w:szCs w:val="32"/>
          <w:highlight w:val="none"/>
          <w:lang w:val="zh-CN" w:bidi="ar"/>
        </w:rPr>
        <w:t>金奖</w:t>
      </w:r>
      <w:r>
        <w:rPr>
          <w:rFonts w:hint="default" w:ascii="Times New Roman" w:hAnsi="Times New Roman" w:eastAsia="仿宋_GB2312" w:cs="Times New Roman"/>
          <w:kern w:val="0"/>
          <w:sz w:val="32"/>
          <w:szCs w:val="32"/>
          <w:highlight w:val="none"/>
          <w:lang w:val="en-US" w:eastAsia="zh-CN" w:bidi="ar"/>
        </w:rPr>
        <w:t>15</w:t>
      </w:r>
      <w:r>
        <w:rPr>
          <w:rFonts w:hint="default" w:ascii="Times New Roman" w:hAnsi="Times New Roman" w:eastAsia="仿宋_GB2312" w:cs="Times New Roman"/>
          <w:kern w:val="0"/>
          <w:sz w:val="32"/>
          <w:szCs w:val="32"/>
          <w:highlight w:val="none"/>
          <w:lang w:val="zh-CN" w:bidi="ar"/>
        </w:rPr>
        <w:t>项，其中专利组</w:t>
      </w:r>
      <w:r>
        <w:rPr>
          <w:rFonts w:hint="default" w:ascii="Times New Roman" w:hAnsi="Times New Roman" w:eastAsia="仿宋_GB2312" w:cs="Times New Roman"/>
          <w:kern w:val="0"/>
          <w:sz w:val="32"/>
          <w:szCs w:val="32"/>
          <w:highlight w:val="none"/>
          <w:lang w:val="en-US" w:eastAsia="zh-CN" w:bidi="ar"/>
        </w:rPr>
        <w:t>9</w:t>
      </w:r>
      <w:r>
        <w:rPr>
          <w:rFonts w:hint="default" w:ascii="Times New Roman" w:hAnsi="Times New Roman" w:eastAsia="仿宋_GB2312" w:cs="Times New Roman"/>
          <w:kern w:val="0"/>
          <w:sz w:val="32"/>
          <w:szCs w:val="32"/>
          <w:highlight w:val="none"/>
          <w:lang w:val="zh-CN" w:bidi="ar"/>
        </w:rPr>
        <w:t>项（初创组、成长组、</w:t>
      </w:r>
      <w:r>
        <w:rPr>
          <w:rFonts w:hint="default" w:ascii="Times New Roman" w:hAnsi="Times New Roman" w:eastAsia="仿宋_GB2312" w:cs="Times New Roman"/>
          <w:kern w:val="0"/>
          <w:sz w:val="32"/>
          <w:szCs w:val="32"/>
          <w:highlight w:val="none"/>
          <w:lang w:val="en-US" w:eastAsia="zh-CN" w:bidi="ar"/>
        </w:rPr>
        <w:t>潮州特色产业组</w:t>
      </w:r>
      <w:r>
        <w:rPr>
          <w:rFonts w:hint="default" w:ascii="Times New Roman" w:hAnsi="Times New Roman" w:eastAsia="仿宋_GB2312" w:cs="Times New Roman"/>
          <w:kern w:val="0"/>
          <w:sz w:val="32"/>
          <w:szCs w:val="32"/>
          <w:highlight w:val="none"/>
          <w:lang w:val="zh-CN" w:bidi="ar"/>
        </w:rPr>
        <w:t>各3项）、商标组</w:t>
      </w:r>
      <w:r>
        <w:rPr>
          <w:rFonts w:hint="default" w:ascii="Times New Roman" w:hAnsi="Times New Roman" w:eastAsia="仿宋_GB2312" w:cs="Times New Roman"/>
          <w:kern w:val="0"/>
          <w:sz w:val="32"/>
          <w:szCs w:val="32"/>
          <w:highlight w:val="none"/>
          <w:lang w:val="en-US" w:eastAsia="zh-CN" w:bidi="ar"/>
        </w:rPr>
        <w:t>3</w:t>
      </w:r>
      <w:r>
        <w:rPr>
          <w:rFonts w:hint="default" w:ascii="Times New Roman" w:hAnsi="Times New Roman" w:eastAsia="仿宋_GB2312" w:cs="Times New Roman"/>
          <w:kern w:val="0"/>
          <w:sz w:val="32"/>
          <w:szCs w:val="32"/>
          <w:highlight w:val="none"/>
          <w:lang w:val="zh-CN" w:bidi="ar"/>
        </w:rPr>
        <w:t>项、地理标志组</w:t>
      </w:r>
      <w:r>
        <w:rPr>
          <w:rFonts w:hint="default" w:ascii="Times New Roman" w:hAnsi="Times New Roman" w:eastAsia="仿宋_GB2312" w:cs="Times New Roman"/>
          <w:kern w:val="0"/>
          <w:sz w:val="32"/>
          <w:szCs w:val="32"/>
          <w:highlight w:val="none"/>
          <w:lang w:val="en-US" w:eastAsia="zh-CN" w:bidi="ar"/>
        </w:rPr>
        <w:t>3</w:t>
      </w:r>
      <w:r>
        <w:rPr>
          <w:rFonts w:hint="default" w:ascii="Times New Roman" w:hAnsi="Times New Roman" w:eastAsia="仿宋_GB2312" w:cs="Times New Roman"/>
          <w:kern w:val="0"/>
          <w:sz w:val="32"/>
          <w:szCs w:val="32"/>
          <w:highlight w:val="none"/>
          <w:lang w:val="zh-CN" w:bidi="ar"/>
        </w:rPr>
        <w:t>项；</w:t>
      </w:r>
      <w:bookmarkStart w:id="52" w:name="sys1355541"/>
    </w:p>
    <w:p w14:paraId="1A1C0FB5">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zh-CN" w:bidi="ar"/>
        </w:rPr>
      </w:pPr>
      <w:r>
        <w:rPr>
          <w:rFonts w:hint="default" w:ascii="Times New Roman" w:hAnsi="Times New Roman" w:eastAsia="仿宋_GB2312" w:cs="Times New Roman"/>
          <w:kern w:val="0"/>
          <w:sz w:val="32"/>
          <w:szCs w:val="32"/>
          <w:highlight w:val="none"/>
          <w:lang w:val="zh-CN" w:bidi="ar"/>
        </w:rPr>
        <w:t>设银奖2</w:t>
      </w:r>
      <w:r>
        <w:rPr>
          <w:rFonts w:hint="default" w:ascii="Times New Roman" w:hAnsi="Times New Roman" w:eastAsia="仿宋_GB2312" w:cs="Times New Roman"/>
          <w:kern w:val="0"/>
          <w:sz w:val="32"/>
          <w:szCs w:val="32"/>
          <w:highlight w:val="none"/>
          <w:lang w:val="en-US" w:eastAsia="zh-CN" w:bidi="ar"/>
        </w:rPr>
        <w:t>0</w:t>
      </w:r>
      <w:r>
        <w:rPr>
          <w:rFonts w:hint="default" w:ascii="Times New Roman" w:hAnsi="Times New Roman" w:eastAsia="仿宋_GB2312" w:cs="Times New Roman"/>
          <w:kern w:val="0"/>
          <w:sz w:val="32"/>
          <w:szCs w:val="32"/>
          <w:highlight w:val="none"/>
          <w:lang w:val="zh-CN" w:bidi="ar"/>
        </w:rPr>
        <w:t>项，其中专利组</w:t>
      </w:r>
      <w:r>
        <w:rPr>
          <w:rFonts w:hint="default" w:ascii="Times New Roman" w:hAnsi="Times New Roman" w:eastAsia="仿宋_GB2312" w:cs="Times New Roman"/>
          <w:kern w:val="0"/>
          <w:sz w:val="32"/>
          <w:szCs w:val="32"/>
          <w:highlight w:val="none"/>
          <w:lang w:val="en-US" w:eastAsia="zh-CN" w:bidi="ar"/>
        </w:rPr>
        <w:t>12</w:t>
      </w:r>
      <w:r>
        <w:rPr>
          <w:rFonts w:hint="default" w:ascii="Times New Roman" w:hAnsi="Times New Roman" w:eastAsia="仿宋_GB2312" w:cs="Times New Roman"/>
          <w:kern w:val="0"/>
          <w:sz w:val="32"/>
          <w:szCs w:val="32"/>
          <w:highlight w:val="none"/>
          <w:lang w:val="zh-CN" w:bidi="ar"/>
        </w:rPr>
        <w:t>项（初创组、成长组、</w:t>
      </w:r>
      <w:r>
        <w:rPr>
          <w:rFonts w:hint="default" w:ascii="Times New Roman" w:hAnsi="Times New Roman" w:eastAsia="仿宋_GB2312" w:cs="Times New Roman"/>
          <w:kern w:val="0"/>
          <w:sz w:val="32"/>
          <w:szCs w:val="32"/>
          <w:highlight w:val="none"/>
          <w:lang w:val="en-US" w:eastAsia="zh-CN" w:bidi="ar"/>
        </w:rPr>
        <w:t>潮州特色产业组</w:t>
      </w:r>
      <w:r>
        <w:rPr>
          <w:rFonts w:hint="default" w:ascii="Times New Roman" w:hAnsi="Times New Roman" w:eastAsia="仿宋_GB2312" w:cs="Times New Roman"/>
          <w:kern w:val="0"/>
          <w:sz w:val="32"/>
          <w:szCs w:val="32"/>
          <w:highlight w:val="none"/>
          <w:lang w:val="zh-CN" w:bidi="ar"/>
        </w:rPr>
        <w:t>各</w:t>
      </w:r>
      <w:r>
        <w:rPr>
          <w:rFonts w:hint="default" w:ascii="Times New Roman" w:hAnsi="Times New Roman"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val="zh-CN" w:bidi="ar"/>
        </w:rPr>
        <w:t>项）、商标组</w:t>
      </w:r>
      <w:r>
        <w:rPr>
          <w:rFonts w:hint="default" w:ascii="Times New Roman" w:hAnsi="Times New Roman"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val="zh-CN" w:bidi="ar"/>
        </w:rPr>
        <w:t>项、地理标志组</w:t>
      </w:r>
      <w:r>
        <w:rPr>
          <w:rFonts w:hint="default" w:ascii="Times New Roman" w:hAnsi="Times New Roman"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val="zh-CN" w:bidi="ar"/>
        </w:rPr>
        <w:t>项。</w:t>
      </w:r>
      <w:bookmarkEnd w:id="52"/>
      <w:bookmarkStart w:id="53" w:name="pindex135"/>
      <w:bookmarkEnd w:id="53"/>
    </w:p>
    <w:p w14:paraId="11D480A7">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zh-CN" w:bidi="ar"/>
        </w:rPr>
      </w:pPr>
      <w:r>
        <w:rPr>
          <w:rFonts w:hint="default" w:ascii="Times New Roman" w:hAnsi="Times New Roman" w:eastAsia="仿宋_GB2312" w:cs="Times New Roman"/>
          <w:kern w:val="0"/>
          <w:sz w:val="32"/>
          <w:szCs w:val="32"/>
          <w:highlight w:val="none"/>
          <w:lang w:val="zh-CN" w:bidi="ar"/>
        </w:rPr>
        <w:t>设</w:t>
      </w:r>
      <w:r>
        <w:rPr>
          <w:rFonts w:hint="default" w:ascii="Times New Roman" w:hAnsi="Times New Roman" w:eastAsia="仿宋_GB2312" w:cs="Times New Roman"/>
          <w:kern w:val="0"/>
          <w:sz w:val="32"/>
          <w:szCs w:val="32"/>
          <w:highlight w:val="none"/>
          <w:lang w:val="en-US" w:eastAsia="zh-CN" w:bidi="ar"/>
        </w:rPr>
        <w:t>优秀</w:t>
      </w:r>
      <w:r>
        <w:rPr>
          <w:rFonts w:hint="default" w:ascii="Times New Roman" w:hAnsi="Times New Roman" w:eastAsia="仿宋_GB2312" w:cs="Times New Roman"/>
          <w:kern w:val="0"/>
          <w:sz w:val="32"/>
          <w:szCs w:val="32"/>
          <w:highlight w:val="none"/>
          <w:lang w:val="zh-CN" w:bidi="ar"/>
        </w:rPr>
        <w:t>奖</w:t>
      </w:r>
      <w:r>
        <w:rPr>
          <w:rFonts w:hint="default" w:ascii="Times New Roman" w:hAnsi="Times New Roman" w:eastAsia="仿宋_GB2312" w:cs="Times New Roman"/>
          <w:kern w:val="0"/>
          <w:sz w:val="32"/>
          <w:szCs w:val="32"/>
          <w:highlight w:val="none"/>
          <w:lang w:val="en-US" w:eastAsia="zh-CN" w:bidi="ar"/>
        </w:rPr>
        <w:t>30</w:t>
      </w:r>
      <w:r>
        <w:rPr>
          <w:rFonts w:hint="default" w:ascii="Times New Roman" w:hAnsi="Times New Roman" w:eastAsia="仿宋_GB2312" w:cs="Times New Roman"/>
          <w:kern w:val="0"/>
          <w:sz w:val="32"/>
          <w:szCs w:val="32"/>
          <w:highlight w:val="none"/>
          <w:lang w:val="zh-CN" w:bidi="ar"/>
        </w:rPr>
        <w:t>项，其中专利组1</w:t>
      </w:r>
      <w:r>
        <w:rPr>
          <w:rFonts w:hint="default" w:ascii="Times New Roman" w:hAnsi="Times New Roman" w:eastAsia="仿宋_GB2312" w:cs="Times New Roman"/>
          <w:kern w:val="0"/>
          <w:sz w:val="32"/>
          <w:szCs w:val="32"/>
          <w:highlight w:val="none"/>
          <w:lang w:val="en-US" w:eastAsia="zh-CN" w:bidi="ar"/>
        </w:rPr>
        <w:t>8</w:t>
      </w:r>
      <w:r>
        <w:rPr>
          <w:rFonts w:hint="default" w:ascii="Times New Roman" w:hAnsi="Times New Roman" w:eastAsia="仿宋_GB2312" w:cs="Times New Roman"/>
          <w:kern w:val="0"/>
          <w:sz w:val="32"/>
          <w:szCs w:val="32"/>
          <w:highlight w:val="none"/>
          <w:lang w:val="zh-CN" w:bidi="ar"/>
        </w:rPr>
        <w:t>项（初创组、成长组、</w:t>
      </w:r>
      <w:r>
        <w:rPr>
          <w:rFonts w:hint="default" w:ascii="Times New Roman" w:hAnsi="Times New Roman" w:eastAsia="仿宋_GB2312" w:cs="Times New Roman"/>
          <w:kern w:val="0"/>
          <w:sz w:val="32"/>
          <w:szCs w:val="32"/>
          <w:highlight w:val="none"/>
          <w:lang w:val="en-US" w:eastAsia="zh-CN" w:bidi="ar"/>
        </w:rPr>
        <w:t>潮州特色产业组</w:t>
      </w:r>
      <w:r>
        <w:rPr>
          <w:rFonts w:hint="default" w:ascii="Times New Roman" w:hAnsi="Times New Roman" w:eastAsia="仿宋_GB2312" w:cs="Times New Roman"/>
          <w:kern w:val="0"/>
          <w:sz w:val="32"/>
          <w:szCs w:val="32"/>
          <w:highlight w:val="none"/>
          <w:lang w:val="zh-CN" w:bidi="ar"/>
        </w:rPr>
        <w:t>各</w:t>
      </w:r>
      <w:r>
        <w:rPr>
          <w:rFonts w:hint="default"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val="zh-CN" w:bidi="ar"/>
        </w:rPr>
        <w:t>项）、商标组</w:t>
      </w:r>
      <w:r>
        <w:rPr>
          <w:rFonts w:hint="default"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val="zh-CN" w:bidi="ar"/>
        </w:rPr>
        <w:t>项、地理标志组</w:t>
      </w:r>
      <w:r>
        <w:rPr>
          <w:rFonts w:hint="default"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val="zh-CN" w:bidi="ar"/>
        </w:rPr>
        <w:t>项。</w:t>
      </w:r>
    </w:p>
    <w:p w14:paraId="128AA69C">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zh-CN" w:bidi="ar"/>
        </w:rPr>
      </w:pPr>
      <w:r>
        <w:rPr>
          <w:rFonts w:hint="default" w:ascii="Times New Roman" w:hAnsi="Times New Roman" w:eastAsia="仿宋_GB2312" w:cs="Times New Roman"/>
          <w:kern w:val="0"/>
          <w:sz w:val="32"/>
          <w:szCs w:val="32"/>
          <w:highlight w:val="none"/>
          <w:lang w:val="zh-CN" w:bidi="ar"/>
        </w:rPr>
        <w:t>金奖奖金为</w:t>
      </w:r>
      <w:r>
        <w:rPr>
          <w:rFonts w:hint="default" w:ascii="Times New Roman" w:hAnsi="Times New Roman" w:eastAsia="仿宋_GB2312" w:cs="Times New Roman"/>
          <w:kern w:val="0"/>
          <w:sz w:val="32"/>
          <w:szCs w:val="32"/>
          <w:highlight w:val="none"/>
          <w:lang w:bidi="ar"/>
        </w:rPr>
        <w:t>1</w:t>
      </w:r>
      <w:r>
        <w:rPr>
          <w:rFonts w:hint="default" w:ascii="Times New Roman" w:hAnsi="Times New Roman" w:eastAsia="仿宋_GB2312" w:cs="Times New Roman"/>
          <w:kern w:val="0"/>
          <w:sz w:val="32"/>
          <w:szCs w:val="32"/>
          <w:highlight w:val="none"/>
          <w:lang w:val="en-US" w:eastAsia="zh-CN" w:bidi="ar"/>
        </w:rPr>
        <w:t>0</w:t>
      </w:r>
      <w:r>
        <w:rPr>
          <w:rFonts w:hint="default" w:ascii="Times New Roman" w:hAnsi="Times New Roman" w:eastAsia="仿宋_GB2312" w:cs="Times New Roman"/>
          <w:kern w:val="0"/>
          <w:sz w:val="32"/>
          <w:szCs w:val="32"/>
          <w:highlight w:val="none"/>
          <w:lang w:bidi="ar"/>
        </w:rPr>
        <w:t>万元</w:t>
      </w:r>
      <w:r>
        <w:rPr>
          <w:rFonts w:hint="default" w:ascii="Times New Roman" w:hAnsi="Times New Roman" w:eastAsia="仿宋_GB2312" w:cs="Times New Roman"/>
          <w:kern w:val="0"/>
          <w:sz w:val="32"/>
          <w:szCs w:val="32"/>
          <w:highlight w:val="none"/>
          <w:lang w:val="zh-CN" w:bidi="ar"/>
        </w:rPr>
        <w:t>/项，银奖奖金为</w:t>
      </w:r>
      <w:r>
        <w:rPr>
          <w:rFonts w:hint="default" w:ascii="Times New Roman" w:hAnsi="Times New Roman"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bidi="ar"/>
        </w:rPr>
        <w:t>万元</w:t>
      </w:r>
      <w:r>
        <w:rPr>
          <w:rFonts w:hint="default" w:ascii="Times New Roman" w:hAnsi="Times New Roman" w:eastAsia="仿宋_GB2312" w:cs="Times New Roman"/>
          <w:kern w:val="0"/>
          <w:sz w:val="32"/>
          <w:szCs w:val="32"/>
          <w:highlight w:val="none"/>
          <w:lang w:val="zh-CN" w:bidi="ar"/>
        </w:rPr>
        <w:t>/项，</w:t>
      </w:r>
      <w:r>
        <w:rPr>
          <w:rFonts w:hint="default" w:ascii="Times New Roman" w:hAnsi="Times New Roman" w:eastAsia="仿宋_GB2312" w:cs="Times New Roman"/>
          <w:kern w:val="0"/>
          <w:sz w:val="32"/>
          <w:szCs w:val="32"/>
          <w:highlight w:val="none"/>
          <w:lang w:val="en-US" w:eastAsia="zh-CN" w:bidi="ar"/>
        </w:rPr>
        <w:t>优秀奖奖金为2万元。</w:t>
      </w:r>
      <w:r>
        <w:rPr>
          <w:rFonts w:hint="default" w:ascii="Times New Roman" w:hAnsi="Times New Roman" w:eastAsia="仿宋_GB2312" w:cs="Times New Roman"/>
          <w:kern w:val="0"/>
          <w:sz w:val="32"/>
          <w:szCs w:val="32"/>
          <w:highlight w:val="none"/>
          <w:lang w:val="zh-CN" w:bidi="ar"/>
        </w:rPr>
        <w:t>获奖项目颁发相应奖杯和获奖证书。</w:t>
      </w:r>
    </w:p>
    <w:p w14:paraId="6A97068D">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3.</w:t>
      </w:r>
      <w:r>
        <w:rPr>
          <w:rFonts w:hint="default" w:ascii="Times New Roman" w:hAnsi="Times New Roman" w:eastAsia="仿宋_GB2312" w:cs="Times New Roman"/>
          <w:color w:val="000000"/>
          <w:kern w:val="0"/>
          <w:sz w:val="32"/>
          <w:szCs w:val="32"/>
          <w:highlight w:val="none"/>
          <w:lang w:bidi="ar"/>
        </w:rPr>
        <w:t>最佳人气</w:t>
      </w:r>
      <w:r>
        <w:rPr>
          <w:rFonts w:hint="default" w:ascii="Times New Roman" w:hAnsi="Times New Roman" w:eastAsia="仿宋_GB2312" w:cs="Times New Roman"/>
          <w:color w:val="000000"/>
          <w:kern w:val="0"/>
          <w:sz w:val="32"/>
          <w:szCs w:val="32"/>
          <w:highlight w:val="none"/>
          <w:lang w:val="en-US" w:eastAsia="zh-CN" w:bidi="ar"/>
        </w:rPr>
        <w:t>项目</w:t>
      </w:r>
      <w:r>
        <w:rPr>
          <w:rFonts w:hint="default" w:ascii="Times New Roman" w:hAnsi="Times New Roman" w:eastAsia="仿宋_GB2312" w:cs="Times New Roman"/>
          <w:color w:val="000000"/>
          <w:kern w:val="0"/>
          <w:sz w:val="32"/>
          <w:szCs w:val="32"/>
          <w:highlight w:val="none"/>
          <w:lang w:bidi="ar"/>
        </w:rPr>
        <w:t>奖</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在</w:t>
      </w:r>
      <w:r>
        <w:rPr>
          <w:rFonts w:hint="default" w:ascii="Times New Roman" w:hAnsi="Times New Roman" w:eastAsia="仿宋_GB2312" w:cs="Times New Roman"/>
          <w:kern w:val="0"/>
          <w:sz w:val="32"/>
          <w:szCs w:val="32"/>
          <w:highlight w:val="none"/>
          <w:lang w:val="zh-CN" w:bidi="ar"/>
        </w:rPr>
        <w:t>百强项目中，</w:t>
      </w:r>
      <w:r>
        <w:rPr>
          <w:rFonts w:hint="default" w:ascii="Times New Roman" w:hAnsi="Times New Roman" w:eastAsia="仿宋_GB2312" w:cs="Times New Roman"/>
          <w:kern w:val="0"/>
          <w:sz w:val="32"/>
          <w:szCs w:val="32"/>
          <w:highlight w:val="none"/>
          <w:lang w:bidi="ar"/>
        </w:rPr>
        <w:t>各组别</w:t>
      </w:r>
      <w:r>
        <w:rPr>
          <w:rFonts w:hint="default" w:ascii="Times New Roman" w:hAnsi="Times New Roman" w:eastAsia="仿宋_GB2312" w:cs="Times New Roman"/>
          <w:kern w:val="0"/>
          <w:sz w:val="32"/>
          <w:szCs w:val="32"/>
          <w:highlight w:val="none"/>
          <w:lang w:val="en-US" w:eastAsia="zh-CN" w:bidi="ar"/>
        </w:rPr>
        <w:t>根据网络投票票数排名</w:t>
      </w:r>
      <w:r>
        <w:rPr>
          <w:rFonts w:hint="default" w:ascii="Times New Roman" w:hAnsi="Times New Roman" w:eastAsia="仿宋_GB2312" w:cs="Times New Roman"/>
          <w:kern w:val="0"/>
          <w:sz w:val="32"/>
          <w:szCs w:val="32"/>
          <w:highlight w:val="none"/>
          <w:lang w:bidi="ar"/>
        </w:rPr>
        <w:t>分别评定最佳人气的项目，</w:t>
      </w:r>
      <w:r>
        <w:rPr>
          <w:rFonts w:hint="default" w:ascii="Times New Roman" w:hAnsi="Times New Roman" w:eastAsia="仿宋_GB2312" w:cs="Times New Roman"/>
          <w:kern w:val="0"/>
          <w:sz w:val="32"/>
          <w:szCs w:val="32"/>
          <w:highlight w:val="none"/>
          <w:lang w:val="zh-CN" w:bidi="ar"/>
        </w:rPr>
        <w:t>颁发相应获奖证书</w:t>
      </w:r>
      <w:r>
        <w:rPr>
          <w:rFonts w:hint="default" w:ascii="Times New Roman" w:hAnsi="Times New Roman" w:eastAsia="仿宋_GB2312" w:cs="Times New Roman"/>
          <w:kern w:val="0"/>
          <w:sz w:val="32"/>
          <w:szCs w:val="32"/>
          <w:highlight w:val="none"/>
          <w:lang w:bidi="ar"/>
        </w:rPr>
        <w:t>。其中</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专利组1</w:t>
      </w: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bidi="ar"/>
        </w:rPr>
        <w:t>项</w:t>
      </w:r>
      <w:r>
        <w:rPr>
          <w:rFonts w:hint="default" w:ascii="Times New Roman" w:hAnsi="Times New Roman" w:eastAsia="仿宋_GB2312" w:cs="Times New Roman"/>
          <w:kern w:val="0"/>
          <w:sz w:val="32"/>
          <w:szCs w:val="32"/>
          <w:highlight w:val="none"/>
          <w:lang w:val="zh-CN" w:bidi="ar"/>
        </w:rPr>
        <w:t>（初创组、成长组、</w:t>
      </w:r>
      <w:r>
        <w:rPr>
          <w:rFonts w:hint="default" w:ascii="Times New Roman" w:hAnsi="Times New Roman" w:eastAsia="仿宋_GB2312" w:cs="Times New Roman"/>
          <w:kern w:val="0"/>
          <w:sz w:val="32"/>
          <w:szCs w:val="32"/>
          <w:highlight w:val="none"/>
          <w:lang w:val="en-US" w:eastAsia="zh-CN" w:bidi="ar"/>
        </w:rPr>
        <w:t>潮州特色产业组各5名</w:t>
      </w:r>
      <w:r>
        <w:rPr>
          <w:rFonts w:hint="default" w:ascii="Times New Roman" w:hAnsi="Times New Roman" w:eastAsia="仿宋_GB2312" w:cs="Times New Roman"/>
          <w:kern w:val="0"/>
          <w:sz w:val="32"/>
          <w:szCs w:val="32"/>
          <w:highlight w:val="none"/>
          <w:lang w:val="zh-CN" w:bidi="ar"/>
        </w:rPr>
        <w:t>）</w:t>
      </w:r>
      <w:r>
        <w:rPr>
          <w:rFonts w:hint="default" w:ascii="Times New Roman" w:hAnsi="Times New Roman" w:eastAsia="仿宋_GB2312" w:cs="Times New Roman"/>
          <w:kern w:val="0"/>
          <w:sz w:val="32"/>
          <w:szCs w:val="32"/>
          <w:highlight w:val="none"/>
          <w:lang w:bidi="ar"/>
        </w:rPr>
        <w:t>，商标组5项，地理</w:t>
      </w:r>
      <w:r>
        <w:rPr>
          <w:rFonts w:hint="default" w:ascii="Times New Roman" w:hAnsi="Times New Roman" w:eastAsia="仿宋_GB2312" w:cs="Times New Roman"/>
          <w:kern w:val="0"/>
          <w:sz w:val="32"/>
          <w:szCs w:val="32"/>
          <w:highlight w:val="none"/>
          <w:shd w:val="clear" w:color="auto" w:fill="auto"/>
          <w:lang w:bidi="ar"/>
        </w:rPr>
        <w:t>标志组5项。</w:t>
      </w:r>
      <w:bookmarkStart w:id="54" w:name="pindex137"/>
      <w:bookmarkEnd w:id="54"/>
    </w:p>
    <w:p w14:paraId="3FC5638B">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4.</w:t>
      </w:r>
      <w:r>
        <w:rPr>
          <w:rFonts w:hint="default" w:ascii="Times New Roman" w:hAnsi="Times New Roman" w:eastAsia="仿宋_GB2312" w:cs="Times New Roman"/>
          <w:kern w:val="0"/>
          <w:sz w:val="32"/>
          <w:szCs w:val="32"/>
          <w:highlight w:val="none"/>
          <w:lang w:val="zh-CN" w:bidi="ar"/>
        </w:rPr>
        <w:t>最佳组织奖。由大赛执委会根据粤东西北地区各地市协助组织、发动本地区做好大赛各项工作情况，</w:t>
      </w:r>
      <w:r>
        <w:rPr>
          <w:rFonts w:hint="default" w:ascii="Times New Roman" w:hAnsi="Times New Roman" w:eastAsia="仿宋_GB2312" w:cs="Times New Roman"/>
          <w:kern w:val="0"/>
          <w:sz w:val="32"/>
          <w:szCs w:val="32"/>
          <w:highlight w:val="none"/>
          <w:lang w:val="en-US" w:eastAsia="zh-CN" w:bidi="ar"/>
        </w:rPr>
        <w:t>根据工作情况，</w:t>
      </w:r>
      <w:r>
        <w:rPr>
          <w:rFonts w:hint="default" w:ascii="Times New Roman" w:hAnsi="Times New Roman" w:eastAsia="仿宋_GB2312" w:cs="Times New Roman"/>
          <w:kern w:val="0"/>
          <w:sz w:val="32"/>
          <w:szCs w:val="32"/>
          <w:highlight w:val="none"/>
          <w:lang w:val="zh-CN" w:bidi="ar"/>
        </w:rPr>
        <w:t>在市、县级市场监管部门评选</w:t>
      </w:r>
      <w:r>
        <w:rPr>
          <w:rFonts w:hint="default" w:ascii="Times New Roman" w:hAnsi="Times New Roman" w:eastAsia="仿宋_GB2312" w:cs="Times New Roman"/>
          <w:kern w:val="0"/>
          <w:sz w:val="32"/>
          <w:szCs w:val="32"/>
          <w:highlight w:val="none"/>
          <w:lang w:val="en-US" w:eastAsia="zh-CN" w:bidi="ar"/>
        </w:rPr>
        <w:t>5—10个“最佳组织奖”</w:t>
      </w:r>
      <w:r>
        <w:rPr>
          <w:rFonts w:hint="default" w:ascii="Times New Roman" w:hAnsi="Times New Roman" w:eastAsia="仿宋_GB2312" w:cs="Times New Roman"/>
          <w:kern w:val="0"/>
          <w:sz w:val="32"/>
          <w:szCs w:val="32"/>
          <w:highlight w:val="none"/>
          <w:lang w:val="zh-CN" w:bidi="ar"/>
        </w:rPr>
        <w:t>。</w:t>
      </w:r>
      <w:bookmarkStart w:id="55" w:name="pindex138"/>
      <w:bookmarkEnd w:id="55"/>
    </w:p>
    <w:p w14:paraId="1F66683F">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5.</w:t>
      </w:r>
      <w:r>
        <w:rPr>
          <w:rFonts w:hint="default" w:ascii="Times New Roman" w:hAnsi="Times New Roman" w:eastAsia="仿宋_GB2312" w:cs="Times New Roman"/>
          <w:kern w:val="0"/>
          <w:sz w:val="32"/>
          <w:szCs w:val="32"/>
          <w:highlight w:val="none"/>
          <w:lang w:val="zh-CN" w:bidi="ar"/>
        </w:rPr>
        <w:t>优秀专利转化运用技术经理人奖。</w:t>
      </w:r>
      <w:r>
        <w:rPr>
          <w:rFonts w:hint="default" w:ascii="Times New Roman" w:hAnsi="Times New Roman" w:eastAsia="仿宋_GB2312" w:cs="Times New Roman"/>
          <w:kern w:val="0"/>
          <w:sz w:val="32"/>
          <w:szCs w:val="32"/>
          <w:highlight w:val="none"/>
          <w:lang w:val="en-US" w:eastAsia="zh-CN" w:bidi="ar"/>
        </w:rPr>
        <w:t>在所有进入决赛的百强项目中进行评选。根据工作情况，酌情评比5—10名</w:t>
      </w:r>
      <w:r>
        <w:rPr>
          <w:rFonts w:hint="default" w:ascii="Times New Roman" w:hAnsi="Times New Roman" w:eastAsia="仿宋_GB2312" w:cs="Times New Roman"/>
          <w:kern w:val="0"/>
          <w:sz w:val="32"/>
          <w:szCs w:val="32"/>
          <w:highlight w:val="none"/>
          <w:lang w:val="zh-CN" w:bidi="ar"/>
        </w:rPr>
        <w:t>在项目转化过程中发挥较好作用、取得显著成效的专利转化运用技术经理人进行表彰。</w:t>
      </w:r>
      <w:bookmarkStart w:id="56" w:name="pindex139"/>
      <w:bookmarkEnd w:id="56"/>
    </w:p>
    <w:p w14:paraId="56BA0AA8">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（二）政策激励及成果运用</w:t>
      </w:r>
      <w:bookmarkStart w:id="57" w:name="pindex140"/>
      <w:bookmarkEnd w:id="57"/>
    </w:p>
    <w:p w14:paraId="4BF4DB70">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bidi="ar"/>
        </w:rPr>
        <w:t>对于大赛获奖的项目进行重点宣传与专题报道，通过传统媒体和新媒体进行宣传</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推广</w:t>
      </w:r>
      <w:r>
        <w:rPr>
          <w:rFonts w:hint="default" w:ascii="Times New Roman" w:hAnsi="Times New Roman" w:eastAsia="仿宋_GB2312" w:cs="Times New Roman"/>
          <w:kern w:val="0"/>
          <w:sz w:val="32"/>
          <w:szCs w:val="32"/>
          <w:highlight w:val="none"/>
          <w:lang w:val="zh-CN" w:bidi="ar"/>
        </w:rPr>
        <w:t>组织省内媒体重点宣传与专题报道获奖的项目，</w:t>
      </w:r>
      <w:r>
        <w:rPr>
          <w:rFonts w:hint="default" w:ascii="Times New Roman" w:hAnsi="Times New Roman" w:eastAsia="仿宋_GB2312" w:cs="Times New Roman"/>
          <w:kern w:val="0"/>
          <w:sz w:val="32"/>
          <w:szCs w:val="32"/>
          <w:highlight w:val="none"/>
          <w:lang w:val="en-US" w:eastAsia="zh-CN" w:bidi="ar"/>
        </w:rPr>
        <w:t>联动</w:t>
      </w:r>
      <w:r>
        <w:rPr>
          <w:rFonts w:hint="default" w:ascii="Times New Roman" w:hAnsi="Times New Roman" w:eastAsia="仿宋_GB2312" w:cs="Times New Roman"/>
          <w:kern w:val="0"/>
          <w:sz w:val="32"/>
          <w:szCs w:val="32"/>
          <w:highlight w:val="none"/>
          <w:lang w:val="zh-CN" w:bidi="ar"/>
        </w:rPr>
        <w:t>大型</w:t>
      </w:r>
      <w:r>
        <w:rPr>
          <w:rFonts w:hint="default" w:ascii="Times New Roman" w:hAnsi="Times New Roman" w:eastAsia="仿宋_GB2312" w:cs="Times New Roman"/>
          <w:kern w:val="0"/>
          <w:sz w:val="32"/>
          <w:szCs w:val="32"/>
          <w:highlight w:val="none"/>
          <w:lang w:val="en-US" w:eastAsia="zh-CN" w:bidi="ar"/>
        </w:rPr>
        <w:t>知识产权</w:t>
      </w:r>
      <w:r>
        <w:rPr>
          <w:rFonts w:hint="default" w:ascii="Times New Roman" w:hAnsi="Times New Roman" w:eastAsia="仿宋_GB2312" w:cs="Times New Roman"/>
          <w:kern w:val="0"/>
          <w:sz w:val="32"/>
          <w:szCs w:val="32"/>
          <w:highlight w:val="none"/>
          <w:lang w:val="zh-CN" w:bidi="ar"/>
        </w:rPr>
        <w:t>活动公布百强奖名单，公布</w:t>
      </w:r>
      <w:r>
        <w:rPr>
          <w:rFonts w:hint="default" w:ascii="Times New Roman" w:hAnsi="Times New Roman" w:eastAsia="仿宋_GB2312" w:cs="Times New Roman"/>
          <w:kern w:val="0"/>
          <w:sz w:val="32"/>
          <w:szCs w:val="32"/>
          <w:highlight w:val="none"/>
          <w:lang w:val="en-US" w:eastAsia="zh-CN" w:bidi="ar"/>
        </w:rPr>
        <w:t>优秀</w:t>
      </w:r>
      <w:r>
        <w:rPr>
          <w:rFonts w:hint="default" w:ascii="Times New Roman" w:hAnsi="Times New Roman" w:eastAsia="仿宋_GB2312" w:cs="Times New Roman"/>
          <w:kern w:val="0"/>
          <w:sz w:val="32"/>
          <w:szCs w:val="32"/>
          <w:highlight w:val="none"/>
          <w:lang w:val="zh-CN" w:bidi="ar"/>
        </w:rPr>
        <w:t>项目信息，提升优质企业、项目社会知晓度。</w:t>
      </w:r>
      <w:bookmarkStart w:id="58" w:name="pindex141"/>
      <w:bookmarkEnd w:id="58"/>
    </w:p>
    <w:p w14:paraId="1A3E0D52">
      <w:pPr>
        <w:keepNext w:val="0"/>
        <w:keepLines w:val="0"/>
        <w:pageBreakBefore w:val="0"/>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2.</w:t>
      </w:r>
      <w:bookmarkStart w:id="59" w:name="pindex142"/>
      <w:bookmarkEnd w:id="59"/>
      <w:r>
        <w:rPr>
          <w:rFonts w:hint="default" w:ascii="Times New Roman" w:hAnsi="Times New Roman" w:eastAsia="仿宋_GB2312" w:cs="Times New Roman"/>
          <w:color w:val="000000"/>
          <w:kern w:val="0"/>
          <w:sz w:val="32"/>
          <w:szCs w:val="32"/>
          <w:highlight w:val="none"/>
          <w:lang w:bidi="ar"/>
        </w:rPr>
        <w:t>对于大赛获奖的项目，参赛主体可以在其专利产品上标注粤创赛名称、LOGO及包含届次在内的规范奖项名称。</w:t>
      </w:r>
    </w:p>
    <w:p w14:paraId="6CF73B96">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3.大赛执委会为</w:t>
      </w:r>
      <w:r>
        <w:rPr>
          <w:rFonts w:hint="default" w:ascii="Times New Roman" w:hAnsi="Times New Roman" w:eastAsia="仿宋_GB2312" w:cs="Times New Roman"/>
          <w:kern w:val="0"/>
          <w:sz w:val="32"/>
          <w:szCs w:val="32"/>
          <w:highlight w:val="none"/>
          <w:lang w:val="zh-CN" w:bidi="ar"/>
        </w:rPr>
        <w:t>百强项目参赛主体提供一年期</w:t>
      </w:r>
      <w:r>
        <w:rPr>
          <w:rFonts w:hint="default" w:ascii="Times New Roman" w:hAnsi="Times New Roman" w:eastAsia="仿宋_GB2312" w:cs="Times New Roman"/>
          <w:kern w:val="0"/>
          <w:sz w:val="32"/>
          <w:szCs w:val="32"/>
          <w:highlight w:val="none"/>
          <w:lang w:val="en-US" w:eastAsia="zh-CN" w:bidi="ar"/>
        </w:rPr>
        <w:t>的知识产权</w:t>
      </w:r>
      <w:r>
        <w:rPr>
          <w:rFonts w:hint="default" w:ascii="Times New Roman" w:hAnsi="Times New Roman" w:eastAsia="仿宋_GB2312" w:cs="Times New Roman"/>
          <w:kern w:val="0"/>
          <w:sz w:val="32"/>
          <w:szCs w:val="32"/>
          <w:highlight w:val="none"/>
          <w:lang w:val="zh-CN" w:bidi="ar"/>
        </w:rPr>
        <w:t>大数据专利检索分析</w:t>
      </w:r>
      <w:r>
        <w:rPr>
          <w:rFonts w:hint="default" w:ascii="Times New Roman" w:hAnsi="Times New Roman" w:eastAsia="仿宋_GB2312" w:cs="Times New Roman"/>
          <w:kern w:val="0"/>
          <w:sz w:val="32"/>
          <w:szCs w:val="32"/>
          <w:highlight w:val="none"/>
          <w:lang w:val="en-US" w:eastAsia="zh-CN" w:bidi="ar"/>
        </w:rPr>
        <w:t>相关</w:t>
      </w:r>
      <w:r>
        <w:rPr>
          <w:rFonts w:hint="default" w:ascii="Times New Roman" w:hAnsi="Times New Roman" w:eastAsia="仿宋_GB2312" w:cs="Times New Roman"/>
          <w:kern w:val="0"/>
          <w:sz w:val="32"/>
          <w:szCs w:val="32"/>
          <w:highlight w:val="none"/>
          <w:lang w:val="zh-CN" w:bidi="ar"/>
        </w:rPr>
        <w:t>系统服务。</w:t>
      </w:r>
      <w:bookmarkStart w:id="60" w:name="pindex143"/>
      <w:bookmarkEnd w:id="60"/>
    </w:p>
    <w:p w14:paraId="28DACBAB">
      <w:pPr>
        <w:autoSpaceDE w:val="0"/>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4.</w:t>
      </w:r>
      <w:bookmarkStart w:id="61" w:name="pindex144"/>
      <w:bookmarkEnd w:id="61"/>
      <w:r>
        <w:rPr>
          <w:rFonts w:hint="default" w:ascii="Times New Roman" w:hAnsi="Times New Roman" w:eastAsia="仿宋_GB2312" w:cs="Times New Roman"/>
          <w:kern w:val="0"/>
          <w:sz w:val="32"/>
          <w:szCs w:val="32"/>
          <w:highlight w:val="none"/>
          <w:lang w:val="en-US" w:eastAsia="zh-CN" w:bidi="ar"/>
        </w:rPr>
        <w:t>针对</w:t>
      </w:r>
      <w:r>
        <w:rPr>
          <w:rFonts w:hint="default" w:ascii="Times New Roman" w:hAnsi="Times New Roman" w:eastAsia="仿宋_GB2312" w:cs="Times New Roman"/>
          <w:kern w:val="0"/>
          <w:sz w:val="32"/>
          <w:szCs w:val="32"/>
          <w:highlight w:val="none"/>
          <w:lang w:val="zh-CN" w:bidi="ar"/>
        </w:rPr>
        <w:t>有</w:t>
      </w:r>
      <w:r>
        <w:rPr>
          <w:rFonts w:hint="default" w:ascii="Times New Roman" w:hAnsi="Times New Roman" w:eastAsia="仿宋_GB2312" w:cs="Times New Roman"/>
          <w:kern w:val="0"/>
          <w:sz w:val="32"/>
          <w:szCs w:val="32"/>
          <w:highlight w:val="none"/>
          <w:lang w:val="en-US" w:eastAsia="zh-CN" w:bidi="ar"/>
        </w:rPr>
        <w:t>意向</w:t>
      </w:r>
      <w:r>
        <w:rPr>
          <w:rFonts w:hint="default" w:ascii="Times New Roman" w:hAnsi="Times New Roman" w:eastAsia="仿宋_GB2312" w:cs="Times New Roman"/>
          <w:kern w:val="0"/>
          <w:sz w:val="32"/>
          <w:szCs w:val="32"/>
          <w:highlight w:val="none"/>
          <w:lang w:val="zh-CN" w:bidi="ar"/>
        </w:rPr>
        <w:t>在粤东西北地区落地转化的参赛项目，</w:t>
      </w:r>
      <w:r>
        <w:rPr>
          <w:rFonts w:hint="default" w:ascii="Times New Roman" w:hAnsi="Times New Roman" w:eastAsia="仿宋_GB2312" w:cs="Times New Roman"/>
          <w:kern w:val="0"/>
          <w:sz w:val="32"/>
          <w:szCs w:val="32"/>
          <w:highlight w:val="none"/>
          <w:lang w:val="en-US" w:eastAsia="zh-CN" w:bidi="ar"/>
        </w:rPr>
        <w:t>可</w:t>
      </w:r>
      <w:r>
        <w:rPr>
          <w:rFonts w:hint="default" w:ascii="Times New Roman" w:hAnsi="Times New Roman" w:eastAsia="仿宋_GB2312" w:cs="Times New Roman"/>
          <w:color w:val="000000"/>
          <w:kern w:val="0"/>
          <w:sz w:val="32"/>
          <w:szCs w:val="32"/>
          <w:highlight w:val="none"/>
          <w:lang w:bidi="ar"/>
        </w:rPr>
        <w:t>根据实际情况享受主办地人民政府有关创新创业、成果转化、招商引资、知识产权等新引进项目落地转化实施优惠政策。</w:t>
      </w:r>
    </w:p>
    <w:p w14:paraId="1C78C3B8">
      <w:pPr>
        <w:keepNext w:val="0"/>
        <w:keepLines w:val="0"/>
        <w:pageBreakBefore w:val="0"/>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bidi="ar"/>
        </w:rPr>
        <w:t>获奖项目优先纳入知识产权质押融资、保险和证券化推荐名单。</w:t>
      </w:r>
    </w:p>
    <w:p w14:paraId="6B2735FC">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6.</w:t>
      </w:r>
      <w:bookmarkStart w:id="62" w:name="pindex146"/>
      <w:bookmarkEnd w:id="62"/>
      <w:r>
        <w:rPr>
          <w:rFonts w:hint="default" w:ascii="Times New Roman" w:hAnsi="Times New Roman" w:eastAsia="仿宋_GB2312" w:cs="Times New Roman"/>
          <w:color w:val="000000"/>
          <w:kern w:val="0"/>
          <w:sz w:val="32"/>
          <w:szCs w:val="32"/>
          <w:highlight w:val="none"/>
          <w:lang w:bidi="ar"/>
        </w:rPr>
        <w:t>获奖项目有知识产权导航、分析评议、品牌建设咨询、维权援助，专利转移转化、开放许可，地理标志产品保护及运用等服务需求的，可由广东省知识产权保护中心优先提供或协调相关机构提供专业知识产权服务。</w:t>
      </w:r>
    </w:p>
    <w:p w14:paraId="6BB4F634">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7.</w:t>
      </w:r>
      <w:bookmarkStart w:id="63" w:name="pindex147"/>
      <w:bookmarkEnd w:id="63"/>
      <w:r>
        <w:rPr>
          <w:rFonts w:hint="default" w:ascii="Times New Roman" w:hAnsi="Times New Roman" w:eastAsia="仿宋_GB2312" w:cs="Times New Roman"/>
          <w:kern w:val="0"/>
          <w:sz w:val="32"/>
          <w:szCs w:val="32"/>
          <w:highlight w:val="none"/>
          <w:lang w:bidi="ar"/>
        </w:rPr>
        <w:t>为</w:t>
      </w:r>
      <w:r>
        <w:rPr>
          <w:rFonts w:hint="default" w:ascii="Times New Roman" w:hAnsi="Times New Roman" w:eastAsia="仿宋_GB2312" w:cs="Times New Roman"/>
          <w:kern w:val="0"/>
          <w:sz w:val="32"/>
          <w:szCs w:val="32"/>
          <w:highlight w:val="none"/>
          <w:lang w:val="zh-CN" w:bidi="ar"/>
        </w:rPr>
        <w:t>参赛项目提供知识产权金融专项对接服务。</w:t>
      </w:r>
    </w:p>
    <w:p w14:paraId="2F2C4F40">
      <w:pPr>
        <w:adjustRightInd w:val="0"/>
        <w:snapToGrid w:val="0"/>
        <w:spacing w:line="58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8.</w:t>
      </w:r>
      <w:r>
        <w:rPr>
          <w:rFonts w:hint="default" w:ascii="Times New Roman" w:hAnsi="Times New Roman" w:eastAsia="仿宋_GB2312" w:cs="Times New Roman"/>
          <w:kern w:val="0"/>
          <w:sz w:val="32"/>
          <w:szCs w:val="32"/>
          <w:highlight w:val="none"/>
          <w:lang w:val="zh-CN" w:bidi="ar"/>
        </w:rPr>
        <w:t>决赛获奖</w:t>
      </w:r>
      <w:r>
        <w:rPr>
          <w:rFonts w:hint="default" w:ascii="Times New Roman" w:hAnsi="Times New Roman" w:eastAsia="仿宋_GB2312" w:cs="Times New Roman"/>
          <w:color w:val="000000"/>
          <w:kern w:val="0"/>
          <w:sz w:val="32"/>
          <w:szCs w:val="32"/>
          <w:highlight w:val="none"/>
          <w:lang w:val="zh-CN" w:bidi="ar"/>
        </w:rPr>
        <w:t>的广东省内专利类项目，其参赛核心专利可由各市市场监督管理局（知识产权局）推荐参评广东专利奖，不占</w:t>
      </w:r>
      <w:r>
        <w:rPr>
          <w:rFonts w:hint="default" w:ascii="Times New Roman" w:hAnsi="Times New Roman" w:eastAsia="仿宋_GB2312" w:cs="Times New Roman"/>
          <w:color w:val="000000"/>
          <w:kern w:val="0"/>
          <w:sz w:val="32"/>
          <w:szCs w:val="32"/>
          <w:highlight w:val="none"/>
          <w:lang w:val="en-US" w:eastAsia="zh-CN" w:bidi="ar"/>
        </w:rPr>
        <w:t>省内原本</w:t>
      </w:r>
      <w:r>
        <w:rPr>
          <w:rFonts w:hint="default" w:ascii="Times New Roman" w:hAnsi="Times New Roman" w:eastAsia="仿宋_GB2312" w:cs="Times New Roman"/>
          <w:color w:val="000000"/>
          <w:kern w:val="0"/>
          <w:sz w:val="32"/>
          <w:szCs w:val="32"/>
          <w:highlight w:val="none"/>
          <w:lang w:val="zh-CN" w:bidi="ar"/>
        </w:rPr>
        <w:t>推荐名额，</w:t>
      </w:r>
      <w:r>
        <w:rPr>
          <w:rFonts w:hint="default" w:ascii="Times New Roman" w:hAnsi="Times New Roman" w:eastAsia="仿宋_GB2312" w:cs="Times New Roman"/>
          <w:color w:val="000000"/>
          <w:kern w:val="0"/>
          <w:sz w:val="32"/>
          <w:szCs w:val="32"/>
          <w:highlight w:val="none"/>
          <w:lang w:val="en-US" w:eastAsia="zh-CN" w:bidi="ar"/>
        </w:rPr>
        <w:t>为新增额外名额</w:t>
      </w:r>
      <w:r>
        <w:rPr>
          <w:rFonts w:hint="default" w:ascii="Times New Roman" w:hAnsi="Times New Roman" w:eastAsia="仿宋_GB2312" w:cs="Times New Roman"/>
          <w:color w:val="000000"/>
          <w:kern w:val="0"/>
          <w:sz w:val="32"/>
          <w:szCs w:val="32"/>
          <w:highlight w:val="none"/>
          <w:lang w:val="zh-CN" w:bidi="ar"/>
        </w:rPr>
        <w:t>。</w:t>
      </w:r>
      <w:bookmarkStart w:id="64" w:name="pindex148"/>
      <w:bookmarkEnd w:id="64"/>
    </w:p>
    <w:p w14:paraId="2B7FF77B">
      <w:pPr>
        <w:adjustRightInd w:val="0"/>
        <w:snapToGrid w:val="0"/>
        <w:spacing w:line="58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val="en-US" w:eastAsia="zh-CN" w:bidi="ar"/>
        </w:rPr>
        <w:t>9.</w:t>
      </w:r>
      <w:bookmarkStart w:id="65" w:name="pindex149"/>
      <w:bookmarkEnd w:id="65"/>
      <w:r>
        <w:rPr>
          <w:rFonts w:hint="default" w:ascii="Times New Roman" w:hAnsi="Times New Roman" w:eastAsia="仿宋_GB2312" w:cs="Times New Roman"/>
          <w:color w:val="000000"/>
          <w:kern w:val="0"/>
          <w:sz w:val="32"/>
          <w:szCs w:val="32"/>
          <w:highlight w:val="none"/>
          <w:lang w:bidi="ar"/>
        </w:rPr>
        <w:t>参加由大赛举办的投融资对接、展销推介活动。</w:t>
      </w:r>
    </w:p>
    <w:p w14:paraId="472830B4">
      <w:pPr>
        <w:adjustRightInd w:val="0"/>
        <w:snapToGrid w:val="0"/>
        <w:spacing w:line="580" w:lineRule="exact"/>
        <w:ind w:firstLine="640" w:firstLineChars="200"/>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bidi="ar"/>
        </w:rPr>
        <w:t>七、宣传</w:t>
      </w:r>
      <w:bookmarkStart w:id="66" w:name="pindex151"/>
      <w:bookmarkEnd w:id="66"/>
      <w:r>
        <w:rPr>
          <w:rFonts w:hint="default" w:ascii="Times New Roman" w:hAnsi="Times New Roman" w:eastAsia="黑体" w:cs="Times New Roman"/>
          <w:kern w:val="0"/>
          <w:sz w:val="32"/>
          <w:szCs w:val="32"/>
          <w:highlight w:val="none"/>
          <w:lang w:val="en-US" w:eastAsia="zh-CN" w:bidi="ar"/>
        </w:rPr>
        <w:t>培训</w:t>
      </w:r>
    </w:p>
    <w:p w14:paraId="48B3020A">
      <w:pPr>
        <w:keepNext w:val="0"/>
        <w:keepLines w:val="0"/>
        <w:pageBreakBefore w:val="0"/>
        <w:numPr>
          <w:ilvl w:val="0"/>
          <w:numId w:val="0"/>
        </w:numPr>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val="en-US" w:eastAsia="zh-CN" w:bidi="ar"/>
        </w:rPr>
        <w:t>（一）</w:t>
      </w:r>
      <w:r>
        <w:rPr>
          <w:rFonts w:hint="default" w:ascii="Times New Roman" w:hAnsi="Times New Roman" w:eastAsia="仿宋_GB2312" w:cs="Times New Roman"/>
          <w:color w:val="000000"/>
          <w:kern w:val="0"/>
          <w:sz w:val="32"/>
          <w:szCs w:val="32"/>
          <w:highlight w:val="none"/>
          <w:lang w:bidi="ar"/>
        </w:rPr>
        <w:t>大赛新闻将通过主流媒体和新媒体，在赛前、赛中、赛后等各个环节针对不同内容进行宣传。</w:t>
      </w:r>
    </w:p>
    <w:p w14:paraId="276F422B">
      <w:pPr>
        <w:keepNext w:val="0"/>
        <w:keepLines w:val="0"/>
        <w:pageBreakBefore w:val="0"/>
        <w:numPr>
          <w:ilvl w:val="0"/>
          <w:numId w:val="0"/>
        </w:numPr>
        <w:kinsoku/>
        <w:wordWrap/>
        <w:overflowPunct/>
        <w:topLinePunct w:val="0"/>
        <w:autoSpaceDE w:val="0"/>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（二）</w:t>
      </w:r>
      <w:r>
        <w:rPr>
          <w:rFonts w:hint="default" w:ascii="Times New Roman" w:hAnsi="Times New Roman" w:eastAsia="仿宋_GB2312" w:cs="Times New Roman"/>
          <w:kern w:val="0"/>
          <w:sz w:val="32"/>
          <w:szCs w:val="32"/>
          <w:highlight w:val="none"/>
          <w:lang w:bidi="ar"/>
        </w:rPr>
        <w:t>建设“第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届粤创赛”官网、微信公众号等，发布赛事情况。</w:t>
      </w:r>
    </w:p>
    <w:p w14:paraId="2E806E80">
      <w:pPr>
        <w:keepNext w:val="0"/>
        <w:keepLines w:val="0"/>
        <w:pageBreakBefore w:val="0"/>
        <w:numPr>
          <w:ilvl w:val="0"/>
          <w:numId w:val="0"/>
        </w:numPr>
        <w:kinsoku/>
        <w:wordWrap/>
        <w:overflowPunct/>
        <w:topLinePunct w:val="0"/>
        <w:autoSpaceDE w:val="0"/>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val="en-US" w:eastAsia="zh-CN" w:bidi="ar"/>
        </w:rPr>
        <w:t>（三）</w:t>
      </w:r>
      <w:r>
        <w:rPr>
          <w:rFonts w:hint="default" w:ascii="Times New Roman" w:hAnsi="Times New Roman" w:eastAsia="仿宋_GB2312" w:cs="Times New Roman"/>
          <w:color w:val="000000"/>
          <w:kern w:val="0"/>
          <w:sz w:val="32"/>
          <w:szCs w:val="32"/>
          <w:highlight w:val="none"/>
          <w:lang w:bidi="ar"/>
        </w:rPr>
        <w:t>面向粤东西北地区，组织地级市巡讲会与服务机构专场宣讲会。</w:t>
      </w:r>
    </w:p>
    <w:p w14:paraId="0331EB1D">
      <w:pPr>
        <w:keepNext w:val="0"/>
        <w:keepLines w:val="0"/>
        <w:pageBreakBefore w:val="0"/>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val="en-US" w:eastAsia="zh-CN" w:bidi="ar"/>
        </w:rPr>
        <w:t>四</w:t>
      </w:r>
      <w:r>
        <w:rPr>
          <w:rFonts w:hint="default" w:ascii="Times New Roman" w:hAnsi="Times New Roman" w:eastAsia="仿宋_GB2312" w:cs="Times New Roman"/>
          <w:color w:val="000000"/>
          <w:kern w:val="0"/>
          <w:sz w:val="32"/>
          <w:szCs w:val="32"/>
          <w:highlight w:val="none"/>
          <w:lang w:bidi="ar"/>
        </w:rPr>
        <w:t>）赛期定期举办专题培训，贯穿大赛各阶段，推广高价值专利布局和运营、商标品牌培训、地理标志建设相关专业知识。</w:t>
      </w:r>
    </w:p>
    <w:p w14:paraId="3D167F7E">
      <w:pPr>
        <w:keepNext w:val="0"/>
        <w:keepLines w:val="0"/>
        <w:pageBreakBefore w:val="0"/>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val="en-US" w:eastAsia="zh-CN" w:bidi="ar"/>
        </w:rPr>
        <w:t>五</w:t>
      </w:r>
      <w:r>
        <w:rPr>
          <w:rFonts w:hint="default" w:ascii="Times New Roman" w:hAnsi="Times New Roman" w:eastAsia="仿宋_GB2312" w:cs="Times New Roman"/>
          <w:color w:val="000000"/>
          <w:kern w:val="0"/>
          <w:sz w:val="32"/>
          <w:szCs w:val="32"/>
          <w:highlight w:val="none"/>
          <w:lang w:bidi="ar"/>
        </w:rPr>
        <w:t>）广泛征集高价值专利实施案例、区域品牌商标、地理标志案例以专题报道形式进行宣传推广。</w:t>
      </w:r>
    </w:p>
    <w:p w14:paraId="22A17C3E">
      <w:pPr>
        <w:adjustRightInd w:val="0"/>
        <w:snapToGrid w:val="0"/>
        <w:spacing w:line="58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bidi="ar"/>
        </w:rPr>
        <w:t>八、赛事监管</w:t>
      </w:r>
      <w:bookmarkStart w:id="67" w:name="pindex153"/>
      <w:bookmarkEnd w:id="67"/>
    </w:p>
    <w:p w14:paraId="0EC4DB29">
      <w:pPr>
        <w:keepNext w:val="0"/>
        <w:keepLines w:val="0"/>
        <w:pageBreakBefore w:val="0"/>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为保障本届粤创赛赛事公平公正，保证办赛效果，设置参赛承诺、公示、异议、申诉、仲裁、获奖承诺等赛事监管流程，通过信息公开与法律承诺等手段，规范参赛与获奖管理。</w:t>
      </w:r>
    </w:p>
    <w:p w14:paraId="0960713D">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（一）参赛承诺</w:t>
      </w:r>
    </w:p>
    <w:p w14:paraId="0D6051C4">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参赛主体须在报名参赛时签署参赛承诺书以及相关法律文件，承诺对参赛填报资料的真实性负责，服从大赛工作方案、规则和执委会对赛事的各项安排，承诺在内地及港澳地区无知识产权侵权行为、无不良经营记录和不存在与其他注册商标存在争议等情况，如被发现存有弄虚作假、恶意隐瞒等行为，承诺放弃参赛资格；如有获奖的参赛主体出现上述行为，由执委会撤销授奖、追回证书和奖金，并予以公布，且对该参赛主体保留法律追究权利。</w:t>
      </w:r>
      <w:bookmarkStart w:id="68" w:name="pindex155"/>
      <w:bookmarkEnd w:id="68"/>
    </w:p>
    <w:p w14:paraId="256D45DB">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（二）举报投诉</w:t>
      </w:r>
    </w:p>
    <w:p w14:paraId="0D93B6D7">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比赛期间，任何单位和个人均可针对不符合参赛要求的项目向执委会提出举报投诉，但须提供有效的证明材料。执委会根据核查结果判定是否符合参赛资格。</w:t>
      </w:r>
      <w:bookmarkStart w:id="69" w:name="pindex156"/>
      <w:bookmarkEnd w:id="69"/>
    </w:p>
    <w:p w14:paraId="183E6519">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（三）公示与异议</w:t>
      </w:r>
    </w:p>
    <w:p w14:paraId="4EC6DF0D">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大</w:t>
      </w:r>
      <w:r>
        <w:rPr>
          <w:rFonts w:hint="default" w:ascii="Times New Roman" w:hAnsi="Times New Roman" w:eastAsia="仿宋_GB2312" w:cs="Times New Roman"/>
          <w:kern w:val="0"/>
          <w:sz w:val="32"/>
          <w:szCs w:val="32"/>
          <w:highlight w:val="none"/>
          <w:lang w:bidi="ar"/>
        </w:rPr>
        <w:t>赛对晋级与获奖结果实行异议制度。进入初赛、决赛以及获奖单位等名单，将通过大赛网站、微信公众号等平台以及媒体向社会公示，接受社会监督。提出异议的单位或者个人应当自公布之日起5日内向执委会提供书面异议材料和有效的证明材料。个人提出异议的，应当在异议材料上签署真实姓名，写明通信地址以及联系电话。以单位名义提出异议的，应当加盖本单位公章并注明法定代表人姓名以及联系电话。凡是匿名或者单位未盖公章的异议材料不予受理。执委会对异议内容进行核查并进行处理。</w:t>
      </w:r>
      <w:bookmarkStart w:id="70" w:name="pindex157"/>
      <w:bookmarkEnd w:id="70"/>
    </w:p>
    <w:p w14:paraId="022FA619">
      <w:pPr>
        <w:numPr>
          <w:ilvl w:val="0"/>
          <w:numId w:val="0"/>
        </w:num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eastAsia="zh-CN" w:bidi="ar"/>
        </w:rPr>
      </w:pPr>
      <w:r>
        <w:rPr>
          <w:rFonts w:hint="default" w:ascii="Times New Roman" w:hAnsi="Times New Roman" w:eastAsia="楷体_GB2312" w:cs="Times New Roman"/>
          <w:kern w:val="0"/>
          <w:sz w:val="32"/>
          <w:szCs w:val="32"/>
          <w:highlight w:val="none"/>
          <w:lang w:bidi="ar"/>
        </w:rPr>
        <w:t>（四）申诉与仲裁</w:t>
      </w:r>
      <w:bookmarkStart w:id="71" w:name="pindex158"/>
      <w:bookmarkEnd w:id="71"/>
    </w:p>
    <w:p w14:paraId="2215B74A">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1.</w:t>
      </w:r>
      <w:r>
        <w:rPr>
          <w:rFonts w:hint="default" w:ascii="Times New Roman" w:hAnsi="Times New Roman" w:eastAsia="仿宋_GB2312" w:cs="Times New Roman"/>
          <w:kern w:val="0"/>
          <w:sz w:val="32"/>
          <w:szCs w:val="32"/>
          <w:highlight w:val="none"/>
          <w:lang w:bidi="ar"/>
        </w:rPr>
        <w:t>参赛单位有权对不符合竞赛规定或有失公正的评判、奖励等行为提出申诉</w:t>
      </w:r>
      <w:r>
        <w:rPr>
          <w:rFonts w:hint="default" w:ascii="Times New Roman" w:hAnsi="Times New Roman" w:eastAsia="仿宋_GB2312" w:cs="Times New Roman"/>
          <w:kern w:val="0"/>
          <w:sz w:val="32"/>
          <w:szCs w:val="32"/>
          <w:highlight w:val="none"/>
          <w:lang w:eastAsia="zh-CN" w:bidi="ar"/>
        </w:rPr>
        <w:t>。</w:t>
      </w:r>
      <w:bookmarkStart w:id="72" w:name="pindex159"/>
      <w:bookmarkEnd w:id="72"/>
    </w:p>
    <w:p w14:paraId="601494BE">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bidi="ar"/>
        </w:rPr>
        <w:t>申诉时，应递交由参赛团队负责人亲笔签字同意的书面报告，报告应对申诉事件的经过、发生的时间、涉及的人员、申诉依据与理由等进行充分、实事求是的叙述。事实依据不充分的申诉不予受理。</w:t>
      </w:r>
      <w:bookmarkStart w:id="73" w:name="pindex160"/>
      <w:bookmarkEnd w:id="73"/>
    </w:p>
    <w:p w14:paraId="223C8326">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3.</w:t>
      </w:r>
      <w:r>
        <w:rPr>
          <w:rFonts w:hint="default" w:ascii="Times New Roman" w:hAnsi="Times New Roman" w:eastAsia="仿宋_GB2312" w:cs="Times New Roman"/>
          <w:kern w:val="0"/>
          <w:sz w:val="32"/>
          <w:szCs w:val="32"/>
          <w:highlight w:val="none"/>
          <w:lang w:bidi="ar"/>
        </w:rPr>
        <w:t>申诉时效：行为发生后2</w:t>
      </w:r>
      <w:r>
        <w:rPr>
          <w:rFonts w:hint="default" w:ascii="Times New Roman" w:hAnsi="Times New Roman" w:eastAsia="仿宋_GB2312" w:cs="Times New Roman"/>
          <w:kern w:val="0"/>
          <w:sz w:val="32"/>
          <w:szCs w:val="32"/>
          <w:highlight w:val="none"/>
          <w:lang w:val="en-US" w:eastAsia="zh-CN" w:bidi="ar"/>
        </w:rPr>
        <w:t>日</w:t>
      </w:r>
      <w:r>
        <w:rPr>
          <w:rFonts w:hint="default" w:ascii="Times New Roman" w:hAnsi="Times New Roman" w:eastAsia="仿宋_GB2312" w:cs="Times New Roman"/>
          <w:kern w:val="0"/>
          <w:sz w:val="32"/>
          <w:szCs w:val="32"/>
          <w:highlight w:val="none"/>
          <w:lang w:bidi="ar"/>
        </w:rPr>
        <w:t>之内提出申诉，超过时效的申诉不予受理。</w:t>
      </w:r>
      <w:bookmarkStart w:id="74" w:name="pindex161"/>
      <w:bookmarkEnd w:id="74"/>
    </w:p>
    <w:p w14:paraId="2AE65CE0">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4.</w:t>
      </w:r>
      <w:r>
        <w:rPr>
          <w:rFonts w:hint="default" w:ascii="Times New Roman" w:hAnsi="Times New Roman" w:eastAsia="仿宋_GB2312" w:cs="Times New Roman"/>
          <w:kern w:val="0"/>
          <w:sz w:val="32"/>
          <w:szCs w:val="32"/>
          <w:highlight w:val="none"/>
          <w:lang w:bidi="ar"/>
        </w:rPr>
        <w:t>仲裁处理：</w:t>
      </w:r>
      <w:r>
        <w:rPr>
          <w:rFonts w:hint="default" w:ascii="Times New Roman" w:hAnsi="Times New Roman" w:eastAsia="仿宋_GB2312" w:cs="Times New Roman"/>
          <w:kern w:val="0"/>
          <w:sz w:val="32"/>
          <w:szCs w:val="32"/>
          <w:highlight w:val="none"/>
          <w:lang w:val="en-US" w:eastAsia="zh-CN" w:bidi="ar"/>
        </w:rPr>
        <w:t>大赛执委会</w:t>
      </w:r>
      <w:r>
        <w:rPr>
          <w:rFonts w:hint="default" w:ascii="Times New Roman" w:hAnsi="Times New Roman" w:eastAsia="仿宋_GB2312" w:cs="Times New Roman"/>
          <w:kern w:val="0"/>
          <w:sz w:val="32"/>
          <w:szCs w:val="32"/>
          <w:highlight w:val="none"/>
          <w:lang w:bidi="ar"/>
        </w:rPr>
        <w:t>在收到申诉报告之后，根据申诉事由进行审查，审查结果报执委会批准后，以书面通知申诉方，告知申诉处理结果。</w:t>
      </w:r>
      <w:bookmarkStart w:id="75" w:name="pindex162"/>
      <w:bookmarkEnd w:id="75"/>
    </w:p>
    <w:p w14:paraId="6516EEA4">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bidi="ar"/>
        </w:rPr>
        <w:t>申诉人不得无故拒不接受处理结果，不得采取过激行为刁难、攻击工作人员，否则视为放弃申诉。</w:t>
      </w:r>
      <w:bookmarkStart w:id="76" w:name="pindex163"/>
      <w:bookmarkEnd w:id="76"/>
    </w:p>
    <w:p w14:paraId="0E7A3BEE">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bidi="ar"/>
        </w:rPr>
        <w:t>有关申诉与仲裁</w:t>
      </w:r>
      <w:r>
        <w:rPr>
          <w:rFonts w:hint="default" w:ascii="Times New Roman" w:hAnsi="Times New Roman" w:eastAsia="仿宋_GB2312" w:cs="Times New Roman"/>
          <w:kern w:val="0"/>
          <w:sz w:val="32"/>
          <w:szCs w:val="32"/>
          <w:highlight w:val="none"/>
          <w:lang w:val="en-US" w:eastAsia="zh-CN" w:bidi="ar"/>
        </w:rPr>
        <w:t>的材料，</w:t>
      </w:r>
      <w:r>
        <w:rPr>
          <w:rFonts w:hint="default" w:ascii="Times New Roman" w:hAnsi="Times New Roman" w:eastAsia="仿宋_GB2312" w:cs="Times New Roman"/>
          <w:kern w:val="0"/>
          <w:sz w:val="32"/>
          <w:szCs w:val="32"/>
          <w:highlight w:val="none"/>
          <w:lang w:bidi="ar"/>
        </w:rPr>
        <w:t>向大赛</w:t>
      </w:r>
      <w:r>
        <w:rPr>
          <w:rFonts w:hint="default" w:ascii="Times New Roman" w:hAnsi="Times New Roman" w:eastAsia="仿宋_GB2312" w:cs="Times New Roman"/>
          <w:kern w:val="0"/>
          <w:sz w:val="32"/>
          <w:szCs w:val="32"/>
          <w:highlight w:val="none"/>
          <w:lang w:val="en-US" w:eastAsia="zh-CN" w:bidi="ar"/>
        </w:rPr>
        <w:t>执委会</w:t>
      </w:r>
      <w:r>
        <w:rPr>
          <w:rFonts w:hint="default" w:ascii="Times New Roman" w:hAnsi="Times New Roman" w:eastAsia="仿宋_GB2312" w:cs="Times New Roman"/>
          <w:kern w:val="0"/>
          <w:sz w:val="32"/>
          <w:szCs w:val="32"/>
          <w:highlight w:val="none"/>
          <w:lang w:bidi="ar"/>
        </w:rPr>
        <w:t>提交。</w:t>
      </w:r>
      <w:bookmarkStart w:id="77" w:name="pindex164"/>
      <w:bookmarkEnd w:id="77"/>
    </w:p>
    <w:p w14:paraId="6592AA71">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（五）获奖承诺</w:t>
      </w:r>
    </w:p>
    <w:p w14:paraId="42E16920">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获奖项目在参赛过程中有弄虚作假或其他违反公平竞争行为的，或获奖主体发生不良经营现象、违法违规事项的，经执委会调查核实。若情况属实者，由执委会提出撤销授奖意见，经大赛主办单位审议批准后，由执委会撤销授奖、追回证书和奖金，并予以公布。</w:t>
      </w:r>
      <w:bookmarkStart w:id="78" w:name="pindex165"/>
      <w:bookmarkEnd w:id="78"/>
    </w:p>
    <w:p w14:paraId="2EC49EF3">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（六）监管部门</w:t>
      </w:r>
    </w:p>
    <w:p w14:paraId="4FCD563E">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由承办单位指派相关工作人员与大赛指导专家、法律专家共同组成赛事监管部门，承办单位负责赛期具体执行相关事务，法律专家负责起草并审核相关法律文件，指导专家对大赛整体事项进行监督，监督结果报执委会确认后进行处理。</w:t>
      </w:r>
      <w:bookmarkStart w:id="79" w:name="pindex166"/>
      <w:bookmarkEnd w:id="79"/>
    </w:p>
    <w:p w14:paraId="5D012341">
      <w:pPr>
        <w:adjustRightInd w:val="0"/>
        <w:snapToGrid w:val="0"/>
        <w:spacing w:line="580" w:lineRule="exact"/>
        <w:ind w:firstLine="640" w:firstLineChars="200"/>
        <w:rPr>
          <w:rFonts w:hint="default" w:ascii="Times New Roman" w:hAnsi="Times New Roman" w:eastAsia="楷体_GB2312" w:cs="Times New Roman"/>
          <w:kern w:val="0"/>
          <w:sz w:val="32"/>
          <w:szCs w:val="32"/>
          <w:highlight w:val="none"/>
          <w:lang w:bidi="ar"/>
        </w:rPr>
      </w:pPr>
      <w:r>
        <w:rPr>
          <w:rFonts w:hint="default" w:ascii="Times New Roman" w:hAnsi="Times New Roman" w:eastAsia="楷体_GB2312" w:cs="Times New Roman"/>
          <w:kern w:val="0"/>
          <w:sz w:val="32"/>
          <w:szCs w:val="32"/>
          <w:highlight w:val="none"/>
          <w:lang w:bidi="ar"/>
        </w:rPr>
        <w:t>（七）免责声明与律师声明</w:t>
      </w:r>
    </w:p>
    <w:p w14:paraId="1EFB8AC1">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大赛委托律师事务所草拟免责声明并出具律师声明，明确比赛性质，避免背书风险。</w:t>
      </w:r>
      <w:bookmarkStart w:id="80" w:name="pindex167"/>
      <w:bookmarkEnd w:id="80"/>
    </w:p>
    <w:p w14:paraId="67DC45DF">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p>
    <w:p w14:paraId="14301508">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bidi="ar"/>
        </w:rPr>
        <w:t>附件：1</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届粤创赛评分指标体系（专利</w:t>
      </w:r>
      <w:r>
        <w:rPr>
          <w:rFonts w:hint="default" w:ascii="Times New Roman" w:hAnsi="Times New Roman" w:eastAsia="仿宋_GB2312" w:cs="Times New Roman"/>
          <w:kern w:val="0"/>
          <w:sz w:val="32"/>
          <w:szCs w:val="32"/>
          <w:highlight w:val="none"/>
          <w:lang w:val="en-US" w:eastAsia="zh-CN" w:bidi="ar"/>
        </w:rPr>
        <w:t>初创、成长组</w:t>
      </w:r>
    </w:p>
    <w:p w14:paraId="428714D3">
      <w:pPr>
        <w:adjustRightInd w:val="0"/>
        <w:snapToGrid w:val="0"/>
        <w:spacing w:line="580" w:lineRule="exact"/>
        <w:ind w:firstLine="640" w:firstLineChars="200"/>
        <w:rPr>
          <w:rFonts w:hint="default" w:ascii="Times New Roman" w:hAnsi="Times New Roman" w:eastAsia="仿宋_GB2312" w:cs="Times New Roman"/>
          <w:kern w:val="0"/>
          <w:sz w:val="32"/>
          <w:szCs w:val="32"/>
          <w:highlight w:val="none"/>
          <w:lang w:bidi="ar"/>
        </w:rPr>
      </w:pPr>
      <w:r>
        <w:rPr>
          <w:rFonts w:hint="eastAsia" w:ascii="Times New Roman" w:hAnsi="Times New Roman" w:cs="Times New Roman"/>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bidi="ar"/>
        </w:rPr>
        <w:t>初赛）</w:t>
      </w:r>
      <w:bookmarkStart w:id="81" w:name="pindex169"/>
      <w:bookmarkEnd w:id="81"/>
    </w:p>
    <w:p w14:paraId="1A0C8E76">
      <w:pPr>
        <w:adjustRightInd w:val="0"/>
        <w:snapToGrid w:val="0"/>
        <w:spacing w:line="580" w:lineRule="exact"/>
        <w:ind w:firstLine="1600" w:firstLineChars="5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bidi="ar"/>
        </w:rPr>
        <w:t>2</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届粤创赛评分指标体系（专利</w:t>
      </w:r>
      <w:r>
        <w:rPr>
          <w:rFonts w:hint="default" w:ascii="Times New Roman" w:hAnsi="Times New Roman" w:eastAsia="仿宋_GB2312" w:cs="Times New Roman"/>
          <w:kern w:val="0"/>
          <w:sz w:val="32"/>
          <w:szCs w:val="32"/>
          <w:highlight w:val="none"/>
          <w:lang w:val="en-US" w:eastAsia="zh-CN" w:bidi="ar"/>
        </w:rPr>
        <w:t>初创、成长组</w:t>
      </w:r>
    </w:p>
    <w:p w14:paraId="18C0F48D">
      <w:pPr>
        <w:adjustRightInd w:val="0"/>
        <w:snapToGrid w:val="0"/>
        <w:spacing w:line="580" w:lineRule="exact"/>
        <w:ind w:firstLine="1600" w:firstLineChars="500"/>
        <w:rPr>
          <w:rFonts w:hint="default" w:ascii="Times New Roman" w:hAnsi="Times New Roman" w:eastAsia="仿宋_GB2312" w:cs="Times New Roman"/>
          <w:kern w:val="0"/>
          <w:sz w:val="32"/>
          <w:szCs w:val="32"/>
          <w:highlight w:val="none"/>
          <w:lang w:bidi="ar"/>
        </w:rPr>
      </w:pPr>
      <w:r>
        <w:rPr>
          <w:rFonts w:hint="eastAsia" w:cs="Times New Roman"/>
          <w:kern w:val="0"/>
          <w:sz w:val="32"/>
          <w:szCs w:val="32"/>
          <w:highlight w:val="none"/>
          <w:lang w:val="en-US" w:eastAsia="zh-CN" w:bidi="ar"/>
        </w:rPr>
        <w:t xml:space="preserve">   </w:t>
      </w:r>
      <w:r>
        <w:rPr>
          <w:rFonts w:hint="eastAsia" w:eastAsia="仿宋_GB2312" w:cs="Times New Roman"/>
          <w:kern w:val="0"/>
          <w:sz w:val="32"/>
          <w:szCs w:val="32"/>
          <w:highlight w:val="none"/>
          <w:lang w:eastAsia="zh-CN" w:bidi="ar"/>
        </w:rPr>
        <w:t>决</w:t>
      </w:r>
      <w:r>
        <w:rPr>
          <w:rFonts w:hint="default" w:ascii="Times New Roman" w:hAnsi="Times New Roman" w:eastAsia="仿宋_GB2312" w:cs="Times New Roman"/>
          <w:kern w:val="0"/>
          <w:sz w:val="32"/>
          <w:szCs w:val="32"/>
          <w:highlight w:val="none"/>
          <w:lang w:bidi="ar"/>
        </w:rPr>
        <w:t>赛）</w:t>
      </w:r>
      <w:bookmarkStart w:id="82" w:name="pindex170"/>
      <w:bookmarkEnd w:id="82"/>
    </w:p>
    <w:p w14:paraId="76254E17">
      <w:pPr>
        <w:numPr>
          <w:ilvl w:val="0"/>
          <w:numId w:val="1"/>
        </w:numPr>
        <w:adjustRightInd w:val="0"/>
        <w:snapToGrid w:val="0"/>
        <w:spacing w:line="580" w:lineRule="exact"/>
        <w:ind w:firstLine="1600" w:firstLineChars="5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届粤创赛评分指标体系（</w:t>
      </w:r>
      <w:r>
        <w:rPr>
          <w:rFonts w:hint="default" w:ascii="Times New Roman" w:hAnsi="Times New Roman" w:eastAsia="仿宋_GB2312" w:cs="Times New Roman"/>
          <w:kern w:val="0"/>
          <w:sz w:val="32"/>
          <w:szCs w:val="32"/>
          <w:highlight w:val="none"/>
          <w:lang w:val="en-US" w:eastAsia="zh-CN" w:bidi="ar"/>
        </w:rPr>
        <w:t>潮州特色产业组</w:t>
      </w:r>
    </w:p>
    <w:p w14:paraId="1072A7F2">
      <w:pPr>
        <w:numPr>
          <w:ilvl w:val="0"/>
          <w:numId w:val="0"/>
        </w:numPr>
        <w:adjustRightInd w:val="0"/>
        <w:snapToGrid w:val="0"/>
        <w:spacing w:line="580" w:lineRule="exact"/>
        <w:rPr>
          <w:rFonts w:hint="default" w:ascii="Times New Roman" w:hAnsi="Times New Roman" w:eastAsia="仿宋_GB2312" w:cs="Times New Roman"/>
          <w:kern w:val="0"/>
          <w:sz w:val="32"/>
          <w:szCs w:val="32"/>
          <w:highlight w:val="none"/>
          <w:lang w:bidi="ar"/>
        </w:rPr>
      </w:pPr>
      <w:r>
        <w:rPr>
          <w:rFonts w:hint="eastAsia" w:ascii="Times New Roman" w:hAnsi="Times New Roman" w:cs="Times New Roman"/>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初赛</w:t>
      </w:r>
      <w:r>
        <w:rPr>
          <w:rFonts w:hint="default" w:ascii="Times New Roman" w:hAnsi="Times New Roman" w:eastAsia="仿宋_GB2312" w:cs="Times New Roman"/>
          <w:kern w:val="0"/>
          <w:sz w:val="32"/>
          <w:szCs w:val="32"/>
          <w:highlight w:val="none"/>
          <w:lang w:bidi="ar"/>
        </w:rPr>
        <w:t>）</w:t>
      </w:r>
    </w:p>
    <w:p w14:paraId="60084553">
      <w:pPr>
        <w:adjustRightInd w:val="0"/>
        <w:snapToGrid w:val="0"/>
        <w:spacing w:line="580" w:lineRule="exact"/>
        <w:ind w:firstLine="1600" w:firstLineChars="5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届粤创赛评分指标体系（</w:t>
      </w:r>
      <w:r>
        <w:rPr>
          <w:rFonts w:hint="default" w:ascii="Times New Roman" w:hAnsi="Times New Roman" w:eastAsia="仿宋_GB2312" w:cs="Times New Roman"/>
          <w:kern w:val="0"/>
          <w:sz w:val="32"/>
          <w:szCs w:val="32"/>
          <w:highlight w:val="none"/>
          <w:lang w:val="en-US" w:eastAsia="zh-CN" w:bidi="ar"/>
        </w:rPr>
        <w:t>潮州特色产业组</w:t>
      </w:r>
    </w:p>
    <w:p w14:paraId="0D35CE22">
      <w:pPr>
        <w:adjustRightInd w:val="0"/>
        <w:snapToGrid w:val="0"/>
        <w:spacing w:line="580" w:lineRule="exact"/>
        <w:ind w:firstLine="1600" w:firstLineChars="500"/>
        <w:rPr>
          <w:rFonts w:hint="default" w:ascii="Times New Roman" w:hAnsi="Times New Roman" w:eastAsia="仿宋_GB2312" w:cs="Times New Roman"/>
          <w:kern w:val="0"/>
          <w:sz w:val="32"/>
          <w:szCs w:val="32"/>
          <w:highlight w:val="none"/>
          <w:lang w:bidi="ar"/>
        </w:rPr>
      </w:pPr>
      <w:r>
        <w:rPr>
          <w:rFonts w:hint="eastAsia" w:ascii="Times New Roman" w:hAnsi="Times New Roman" w:cs="Times New Roman"/>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决赛</w:t>
      </w:r>
      <w:r>
        <w:rPr>
          <w:rFonts w:hint="default" w:ascii="Times New Roman" w:hAnsi="Times New Roman" w:eastAsia="仿宋_GB2312" w:cs="Times New Roman"/>
          <w:kern w:val="0"/>
          <w:sz w:val="32"/>
          <w:szCs w:val="32"/>
          <w:highlight w:val="none"/>
          <w:lang w:bidi="ar"/>
        </w:rPr>
        <w:t>）</w:t>
      </w:r>
    </w:p>
    <w:p w14:paraId="0D46961A">
      <w:pPr>
        <w:adjustRightInd w:val="0"/>
        <w:snapToGrid w:val="0"/>
        <w:spacing w:line="580" w:lineRule="exact"/>
        <w:ind w:firstLine="1600" w:firstLineChars="5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5</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届粤创赛评分指标体系（商标组）</w:t>
      </w:r>
      <w:bookmarkStart w:id="83" w:name="pindex171"/>
      <w:bookmarkEnd w:id="83"/>
    </w:p>
    <w:p w14:paraId="1B8ACCE2">
      <w:pPr>
        <w:autoSpaceDE w:val="0"/>
        <w:adjustRightInd w:val="0"/>
        <w:snapToGrid w:val="0"/>
        <w:spacing w:line="580" w:lineRule="exact"/>
        <w:ind w:firstLine="1600" w:firstLineChars="500"/>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6</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第</w:t>
      </w:r>
      <w:r>
        <w:rPr>
          <w:rFonts w:hint="default"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bidi="ar"/>
        </w:rPr>
        <w:t>届粤创赛评分指标体系（地理标志组）</w:t>
      </w:r>
      <w:bookmarkStart w:id="84" w:name="pindex173"/>
      <w:bookmarkEnd w:id="84"/>
    </w:p>
    <w:p w14:paraId="0B7C59BE">
      <w:pPr>
        <w:autoSpaceDE w:val="0"/>
        <w:adjustRightInd w:val="0"/>
        <w:snapToGrid w:val="0"/>
        <w:spacing w:line="580" w:lineRule="exact"/>
        <w:ind w:firstLine="1600" w:firstLineChars="500"/>
        <w:rPr>
          <w:rFonts w:hint="default" w:ascii="Times New Roman" w:hAnsi="Times New Roman" w:eastAsia="仿宋_GB2312" w:cs="Times New Roman"/>
          <w:b w:val="0"/>
          <w:bCs w:val="0"/>
          <w:kern w:val="0"/>
          <w:sz w:val="32"/>
          <w:szCs w:val="32"/>
          <w:highlight w:val="none"/>
          <w:lang w:val="en-US" w:eastAsia="zh-CN" w:bidi="ar"/>
        </w:rPr>
        <w:sectPr>
          <w:footerReference r:id="rId5" w:type="first"/>
          <w:footerReference r:id="rId3" w:type="default"/>
          <w:footerReference r:id="rId4" w:type="even"/>
          <w:pgSz w:w="11906" w:h="16838"/>
          <w:pgMar w:top="2098" w:right="1474" w:bottom="1701" w:left="1587" w:header="851" w:footer="1134" w:gutter="0"/>
          <w:pgBorders w:offsetFrom="page">
            <w:top w:val="none" w:sz="0" w:space="0"/>
            <w:left w:val="none" w:sz="0" w:space="0"/>
            <w:bottom w:val="none" w:sz="0" w:space="0"/>
            <w:right w:val="none" w:sz="0" w:space="0"/>
          </w:pgBorders>
          <w:pgNumType w:fmt="decimal"/>
          <w:cols w:space="720" w:num="1"/>
          <w:rtlGutter w:val="0"/>
          <w:docGrid w:type="lines" w:linePitch="327" w:charSpace="0"/>
        </w:sectPr>
      </w:pPr>
      <w:r>
        <w:rPr>
          <w:rFonts w:hint="default" w:ascii="Times New Roman" w:hAnsi="Times New Roman" w:eastAsia="仿宋_GB2312" w:cs="Times New Roman"/>
          <w:b w:val="0"/>
          <w:bCs w:val="0"/>
          <w:kern w:val="0"/>
          <w:sz w:val="32"/>
          <w:szCs w:val="32"/>
          <w:highlight w:val="none"/>
          <w:lang w:val="en-US" w:eastAsia="zh-CN" w:bidi="ar"/>
        </w:rPr>
        <w:t>7</w:t>
      </w:r>
      <w:r>
        <w:rPr>
          <w:rFonts w:hint="eastAsia" w:ascii="Times New Roman" w:hAnsi="Times New Roman" w:cs="Times New Roman"/>
          <w:b w:val="0"/>
          <w:bCs w:val="0"/>
          <w:kern w:val="0"/>
          <w:sz w:val="32"/>
          <w:szCs w:val="32"/>
          <w:highlight w:val="none"/>
          <w:lang w:val="en-US" w:eastAsia="zh-CN" w:bidi="ar"/>
        </w:rPr>
        <w:t>．</w:t>
      </w:r>
      <w:r>
        <w:rPr>
          <w:rFonts w:hint="default" w:ascii="Times New Roman" w:hAnsi="Times New Roman" w:eastAsia="仿宋_GB2312" w:cs="Times New Roman"/>
          <w:b w:val="0"/>
          <w:bCs w:val="0"/>
          <w:kern w:val="0"/>
          <w:sz w:val="32"/>
          <w:szCs w:val="32"/>
          <w:highlight w:val="none"/>
          <w:lang w:val="en-US" w:eastAsia="zh-CN" w:bidi="ar"/>
        </w:rPr>
        <w:t>潮州特色产业组参赛项目要求特别说明</w:t>
      </w:r>
    </w:p>
    <w:p w14:paraId="0537EC6C">
      <w:pPr>
        <w:spacing w:line="560" w:lineRule="exact"/>
        <w:rPr>
          <w:rFonts w:eastAsia="黑体"/>
          <w:sz w:val="32"/>
          <w:szCs w:val="32"/>
          <w:highlight w:val="none"/>
        </w:rPr>
      </w:pPr>
      <w:r>
        <w:rPr>
          <w:rFonts w:eastAsia="黑体"/>
          <w:sz w:val="32"/>
          <w:szCs w:val="32"/>
          <w:highlight w:val="none"/>
        </w:rPr>
        <w:t>附件1</w:t>
      </w:r>
    </w:p>
    <w:tbl>
      <w:tblPr>
        <w:tblStyle w:val="6"/>
        <w:tblpPr w:leftFromText="180" w:rightFromText="180" w:vertAnchor="text" w:horzAnchor="page" w:tblpX="1586" w:tblpY="781"/>
        <w:tblOverlap w:val="never"/>
        <w:tblW w:w="21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380"/>
        <w:gridCol w:w="825"/>
        <w:gridCol w:w="840"/>
        <w:gridCol w:w="1110"/>
        <w:gridCol w:w="1680"/>
        <w:gridCol w:w="5419"/>
        <w:gridCol w:w="7065"/>
        <w:gridCol w:w="1726"/>
      </w:tblGrid>
      <w:tr w14:paraId="26CE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76E436A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一级指标</w:t>
            </w:r>
          </w:p>
        </w:tc>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14:paraId="639C3BF1">
            <w:pPr>
              <w:keepNext w:val="0"/>
              <w:keepLines w:val="0"/>
              <w:pageBreakBefore w:val="0"/>
              <w:widowControl w:val="0"/>
              <w:tabs>
                <w:tab w:val="left" w:pos="1050"/>
              </w:tabs>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二级指标</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14:paraId="5013CDD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分值</w:t>
            </w:r>
          </w:p>
        </w:tc>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14:paraId="0DD9DD59">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评分方法</w:t>
            </w: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19C3746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数据来源</w:t>
            </w:r>
          </w:p>
        </w:tc>
        <w:tc>
          <w:tcPr>
            <w:tcW w:w="5419" w:type="dxa"/>
            <w:vMerge w:val="restart"/>
            <w:tcBorders>
              <w:top w:val="single" w:color="auto" w:sz="4" w:space="0"/>
              <w:left w:val="single" w:color="auto" w:sz="4" w:space="0"/>
              <w:bottom w:val="single" w:color="auto" w:sz="4" w:space="0"/>
              <w:right w:val="single" w:color="auto" w:sz="4" w:space="0"/>
            </w:tcBorders>
            <w:noWrap w:val="0"/>
            <w:vAlign w:val="center"/>
          </w:tcPr>
          <w:p w14:paraId="03535BC0">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指标说明</w:t>
            </w:r>
          </w:p>
        </w:tc>
        <w:tc>
          <w:tcPr>
            <w:tcW w:w="7065" w:type="dxa"/>
            <w:vMerge w:val="restart"/>
            <w:tcBorders>
              <w:top w:val="single" w:color="auto" w:sz="4" w:space="0"/>
              <w:left w:val="single" w:color="auto" w:sz="4" w:space="0"/>
              <w:bottom w:val="single" w:color="auto" w:sz="4" w:space="0"/>
              <w:right w:val="single" w:color="auto" w:sz="4" w:space="0"/>
            </w:tcBorders>
            <w:noWrap w:val="0"/>
            <w:vAlign w:val="center"/>
          </w:tcPr>
          <w:p w14:paraId="7C6D7A9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sz w:val="18"/>
                <w:szCs w:val="18"/>
                <w:highlight w:val="none"/>
              </w:rPr>
              <w:t>评价标准</w:t>
            </w:r>
          </w:p>
        </w:tc>
        <w:tc>
          <w:tcPr>
            <w:tcW w:w="1726" w:type="dxa"/>
            <w:vMerge w:val="restart"/>
            <w:tcBorders>
              <w:top w:val="single" w:color="auto" w:sz="4" w:space="0"/>
              <w:left w:val="single" w:color="auto" w:sz="4" w:space="0"/>
              <w:bottom w:val="single" w:color="auto" w:sz="4" w:space="0"/>
              <w:right w:val="single" w:color="auto" w:sz="4" w:space="0"/>
            </w:tcBorders>
            <w:noWrap w:val="0"/>
            <w:vAlign w:val="center"/>
          </w:tcPr>
          <w:p w14:paraId="2477783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备注</w:t>
            </w:r>
          </w:p>
        </w:tc>
      </w:tr>
      <w:tr w14:paraId="65C3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06DB2619">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14:paraId="60D134C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856B3FD">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黑体" w:hAnsi="黑体" w:eastAsia="黑体" w:cs="黑体"/>
                <w:color w:val="000000"/>
                <w:sz w:val="18"/>
                <w:szCs w:val="18"/>
                <w:highlight w:val="none"/>
              </w:rPr>
            </w:pPr>
            <w:r>
              <w:rPr>
                <w:rFonts w:hint="default" w:ascii="黑体" w:hAnsi="黑体" w:eastAsia="黑体" w:cs="黑体"/>
                <w:color w:val="000000"/>
                <w:sz w:val="18"/>
                <w:szCs w:val="18"/>
                <w:highlight w:val="none"/>
              </w:rPr>
              <w:t>初创组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17A1CF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黑体" w:hAnsi="黑体" w:eastAsia="黑体" w:cs="黑体"/>
                <w:color w:val="000000"/>
                <w:sz w:val="18"/>
                <w:szCs w:val="18"/>
                <w:highlight w:val="none"/>
              </w:rPr>
            </w:pPr>
            <w:r>
              <w:rPr>
                <w:rFonts w:hint="default" w:ascii="黑体" w:hAnsi="黑体" w:eastAsia="黑体" w:cs="黑体"/>
                <w:color w:val="000000"/>
                <w:sz w:val="18"/>
                <w:szCs w:val="18"/>
                <w:highlight w:val="none"/>
              </w:rPr>
              <w:t>成长组</w:t>
            </w: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14:paraId="51E1E9A9">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14:paraId="75220FA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5419" w:type="dxa"/>
            <w:vMerge w:val="continue"/>
            <w:tcBorders>
              <w:top w:val="single" w:color="auto" w:sz="4" w:space="0"/>
              <w:left w:val="single" w:color="auto" w:sz="4" w:space="0"/>
              <w:bottom w:val="single" w:color="auto" w:sz="4" w:space="0"/>
              <w:right w:val="single" w:color="auto" w:sz="4" w:space="0"/>
            </w:tcBorders>
            <w:noWrap w:val="0"/>
            <w:vAlign w:val="center"/>
          </w:tcPr>
          <w:p w14:paraId="1263550A">
            <w:pPr>
              <w:keepNext w:val="0"/>
              <w:keepLines w:val="0"/>
              <w:pageBreakBefore w:val="0"/>
              <w:widowControl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color w:val="000000"/>
                <w:sz w:val="18"/>
                <w:szCs w:val="18"/>
                <w:highlight w:val="none"/>
              </w:rPr>
            </w:pPr>
          </w:p>
        </w:tc>
        <w:tc>
          <w:tcPr>
            <w:tcW w:w="7065" w:type="dxa"/>
            <w:vMerge w:val="continue"/>
            <w:tcBorders>
              <w:top w:val="single" w:color="auto" w:sz="4" w:space="0"/>
              <w:left w:val="single" w:color="auto" w:sz="4" w:space="0"/>
              <w:bottom w:val="single" w:color="auto" w:sz="4" w:space="0"/>
              <w:right w:val="single" w:color="auto" w:sz="4" w:space="0"/>
            </w:tcBorders>
            <w:noWrap w:val="0"/>
            <w:vAlign w:val="center"/>
          </w:tcPr>
          <w:p w14:paraId="1A490CA6">
            <w:pPr>
              <w:keepNext w:val="0"/>
              <w:keepLines w:val="0"/>
              <w:pageBreakBefore w:val="0"/>
              <w:widowControl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color w:val="000000"/>
                <w:sz w:val="18"/>
                <w:szCs w:val="18"/>
                <w:highlight w:val="none"/>
              </w:rPr>
            </w:pPr>
          </w:p>
        </w:tc>
        <w:tc>
          <w:tcPr>
            <w:tcW w:w="1726" w:type="dxa"/>
            <w:vMerge w:val="continue"/>
            <w:tcBorders>
              <w:top w:val="single" w:color="auto" w:sz="4" w:space="0"/>
              <w:left w:val="single" w:color="auto" w:sz="4" w:space="0"/>
              <w:bottom w:val="single" w:color="auto" w:sz="4" w:space="0"/>
              <w:right w:val="single" w:color="auto" w:sz="4" w:space="0"/>
            </w:tcBorders>
            <w:noWrap w:val="0"/>
            <w:vAlign w:val="center"/>
          </w:tcPr>
          <w:p w14:paraId="29448E1D">
            <w:pPr>
              <w:keepNext w:val="0"/>
              <w:keepLines w:val="0"/>
              <w:pageBreakBefore w:val="0"/>
              <w:widowControl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color w:val="000000"/>
                <w:sz w:val="18"/>
                <w:szCs w:val="18"/>
                <w:highlight w:val="none"/>
              </w:rPr>
            </w:pPr>
          </w:p>
        </w:tc>
      </w:tr>
      <w:tr w14:paraId="7CBC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25AC2E3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lang w:eastAsia="zh-CN"/>
              </w:rPr>
              <w:t>宏观管理</w:t>
            </w:r>
          </w:p>
          <w:p w14:paraId="442576E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0E2AD5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组织动员</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DB7E25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3</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52AADA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0B7B57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客观数据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43A6E6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国家知识产权局或省市场监管局相关数据通报</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3248FE6">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bCs w:val="0"/>
                <w:color w:val="000000"/>
                <w:sz w:val="18"/>
                <w:szCs w:val="18"/>
                <w:highlight w:val="none"/>
                <w:vertAlign w:val="baseline"/>
                <w:lang w:val="en-US" w:eastAsia="zh-CN"/>
              </w:rPr>
              <w:t>主要反映赛事启动后（自2026年7月起算，下同），各地市通过开展赛事发动、组织动员等，推动知识产权转化运用的整体情况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65AED30C">
            <w:pPr>
              <w:keepNext w:val="0"/>
              <w:keepLines w:val="0"/>
              <w:pageBreakBefore w:val="0"/>
              <w:widowControl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赛事期间</w:t>
            </w:r>
            <w:r>
              <w:rPr>
                <w:rFonts w:hint="default" w:ascii="Times New Roman" w:hAnsi="Times New Roman" w:eastAsia="宋体" w:cs="Times New Roman"/>
                <w:color w:val="000000"/>
                <w:sz w:val="18"/>
                <w:szCs w:val="18"/>
                <w:highlight w:val="none"/>
                <w:lang w:eastAsia="zh-CN"/>
              </w:rPr>
              <w:t>本市</w:t>
            </w:r>
            <w:r>
              <w:rPr>
                <w:rFonts w:hint="default" w:ascii="Times New Roman" w:hAnsi="Times New Roman" w:eastAsia="宋体" w:cs="Times New Roman"/>
                <w:color w:val="000000"/>
                <w:sz w:val="18"/>
                <w:szCs w:val="18"/>
                <w:highlight w:val="none"/>
              </w:rPr>
              <w:t>专利转化许可</w:t>
            </w:r>
            <w:r>
              <w:rPr>
                <w:rFonts w:hint="default" w:ascii="Times New Roman" w:hAnsi="Times New Roman" w:eastAsia="宋体" w:cs="Times New Roman"/>
                <w:color w:val="000000"/>
                <w:sz w:val="18"/>
                <w:szCs w:val="18"/>
                <w:highlight w:val="none"/>
                <w:lang w:eastAsia="zh-CN"/>
              </w:rPr>
              <w:t>情况，</w:t>
            </w:r>
            <w:r>
              <w:rPr>
                <w:rFonts w:hint="default" w:ascii="Times New Roman" w:hAnsi="Times New Roman" w:eastAsia="宋体" w:cs="Times New Roman"/>
                <w:color w:val="000000"/>
                <w:sz w:val="18"/>
                <w:szCs w:val="18"/>
                <w:highlight w:val="none"/>
                <w:lang w:val="en-US" w:eastAsia="zh-CN"/>
              </w:rPr>
              <w:t>各地在赛事期间开展赛事发动、组织动员等情况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B350CE9">
            <w:pPr>
              <w:keepNext w:val="0"/>
              <w:keepLines w:val="0"/>
              <w:pageBreakBefore w:val="0"/>
              <w:widowControl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bCs w:val="0"/>
                <w:color w:val="000000"/>
                <w:sz w:val="18"/>
                <w:szCs w:val="18"/>
                <w:highlight w:val="none"/>
                <w:vertAlign w:val="baseline"/>
                <w:lang w:val="en-US" w:eastAsia="zh-CN"/>
              </w:rPr>
              <w:t>此项指标不需项目参赛单位提供材料</w:t>
            </w:r>
          </w:p>
        </w:tc>
      </w:tr>
      <w:tr w14:paraId="616C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32DD486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6EDFE6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kern w:val="2"/>
                <w:sz w:val="18"/>
                <w:szCs w:val="18"/>
                <w:highlight w:val="none"/>
                <w:lang w:val="en-US" w:eastAsia="zh-CN" w:bidi="ar-SA"/>
              </w:rPr>
              <w:t>团队建设</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82C7A3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7</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5D93FB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D71225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3280CE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1DD387F5">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主要反映参赛项目牵头单位在研发创新平台建设、知识产权储备和激励、技术或成果转化项目实施、人才队伍建设等方面的综合情况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5183F590">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参赛项目的核心技术能力情况，知识产权储备丰富度及转化激励机制完善程度，专业团队与转化团队实力，以及主导重大技术攻关或专利成果转化项目的经验</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DE1F2AF">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024E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646CACE9">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专利</w:t>
            </w:r>
            <w:r>
              <w:rPr>
                <w:rFonts w:hint="default" w:ascii="Times New Roman" w:hAnsi="Times New Roman" w:eastAsia="宋体" w:cs="Times New Roman"/>
                <w:color w:val="000000"/>
                <w:sz w:val="18"/>
                <w:szCs w:val="18"/>
                <w:highlight w:val="none"/>
              </w:rPr>
              <w:t>质量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CBF1885">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技术先进性（创新性）</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9DCBD55">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1</w:t>
            </w:r>
            <w:r>
              <w:rPr>
                <w:rFonts w:hint="default" w:ascii="Times New Roman" w:hAnsi="Times New Roman" w:eastAsia="宋体" w:cs="Times New Roman"/>
                <w:color w:val="000000"/>
                <w:sz w:val="18"/>
                <w:szCs w:val="18"/>
                <w:highlight w:val="none"/>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06991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C98FE9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AFB63D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350764E0">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主要反映参赛项目核心专利的技术创新水平、解决技术难题的能力、技术成熟度等专利技术先进性方面的综合情况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6563582D">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1.对于发明专利和实用新型专利：技术创新水平、对现有技术的改进及解决技术问题的能力，以及专利转化所处阶段；</w:t>
            </w:r>
          </w:p>
          <w:p w14:paraId="09BB61B5">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2.对于外观专利：创新设计思路与手段、与现有方案的差异、独特性及艺术设计价值，以及实际应用或批量生产情况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762DF73">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362A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04AF3F9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D8C004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权利稳定性</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4AE314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FD28DE0">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D1BA2C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F6945B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3AD80059">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主要反映参赛项目核心专利的法律状态、专利权属、纠纷争议等权利稳定性方面的综合情况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33606E40">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项目技术的自主研发情况及对其他技术许可的依赖程度，专利法律状态、专利权属及是否存在争议，以及核心技术点的覆盖情况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2951B59">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73DF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225D4A4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644495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技术替代性</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AF2A3E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1C52F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A695BA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BF7526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18C5B4A4">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主要反映参赛项目的核心专利或专利产品的市场替代情况，专利保护自身发展及提升自身竞争力等方面的综合情况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6C2CE922">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参赛项目当前市场是否存在替代产品、技术是否独家，专利保护的发展、技术门槛和市场竞争力情况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4C3F766">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484C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276CA1D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专利布局</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63AC6C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bidi="ar"/>
              </w:rPr>
              <w:t>方案可行性</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D68E9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10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DB129A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89DC7C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A8BD67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59D46F14">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主要反映参赛项目或项目核心专利在落地转化的规划合理性、方案可行性等情况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4EC665B9">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参赛项目转化规划情况，包括资金预算、本地化生产或研发资源配置及团队常驻支持计划等具体步骤</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10A51B92">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3497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4A0C437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7275F2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培育布局规划</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5FC246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D66E6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931A33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4F78B74">
            <w:pPr>
              <w:keepNext w:val="0"/>
              <w:keepLines w:val="0"/>
              <w:pageBreakBefore w:val="0"/>
              <w:widowControl w:val="0"/>
              <w:kinsoku/>
              <w:wordWrap/>
              <w:overflowPunct/>
              <w:topLinePunct w:val="0"/>
              <w:autoSpaceDE/>
              <w:autoSpaceDN/>
              <w:bidi w:val="0"/>
              <w:adjustRightInd w:val="0"/>
              <w:snapToGrid w:val="0"/>
              <w:spacing w:line="23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5A517DF9">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主要反映参赛项目通过建立全流程专利导航决策及分析机制、专利申请前评估机制、专利分级分类机制等方式，对于未来知识产权培育布局的规划、思路和保护策略</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359DF0B0">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参赛项目的知识产权培育布局规划和保护策略，采用的专利导航决策机制，建立事前评估、分级分类管理体系情况，以及运用创新性布局方法形成的典型经验</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A4DCD3E">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49DF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38445EE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DA286D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核心专利情况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B2B4700">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7</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EBFF24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55CE24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p w14:paraId="1A5CF0C9">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客观数据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8B3E7D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7723EBC3">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主要反映参赛项目核心专利及专利组合的数量及质量情况，以及项目核心专利、专利组合或核心技术在国家、部委、省市获得专利奖、科技奖的情况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6B4CA25A">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参赛项目核心专利的保护剩余年限、权利要求数；获国家或地区授权情况；专利组合及发明专利情况</w:t>
            </w:r>
          </w:p>
          <w:p w14:paraId="77C5140B">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核心专利或专利组合情况，检查国内专利（不含港澳台）申请状态情况；核心专利、专利组合、核心技术获中国专利奖等国家级或国际级奖项情况，获省级（含省政府各相关部门）奖项情况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E13C48D">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5A74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tcBorders>
              <w:top w:val="single" w:color="auto" w:sz="4" w:space="0"/>
              <w:left w:val="single" w:color="auto" w:sz="4" w:space="0"/>
              <w:bottom w:val="single" w:color="auto" w:sz="4" w:space="0"/>
              <w:right w:val="single" w:color="auto" w:sz="4" w:space="0"/>
            </w:tcBorders>
            <w:noWrap w:val="0"/>
            <w:vAlign w:val="center"/>
          </w:tcPr>
          <w:p w14:paraId="6D518095">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2BE6F6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lang w:eastAsia="zh-CN"/>
              </w:rPr>
              <w:t>海外专利布局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7C1D24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3</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46AE45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2AD3F6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p w14:paraId="7962756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客观数据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4DCD305">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4AA8B05C">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主要反映参赛项目专利海外布局数量及分布情况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2D8F134D">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参赛项目海外专利数量及地区分布情况（含港澳台）</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D82F5E4">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5A6E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tcBorders>
              <w:top w:val="single" w:color="auto" w:sz="4" w:space="0"/>
              <w:left w:val="single" w:color="auto" w:sz="4" w:space="0"/>
              <w:bottom w:val="single" w:color="auto" w:sz="4" w:space="0"/>
              <w:right w:val="single" w:color="auto" w:sz="4" w:space="0"/>
            </w:tcBorders>
            <w:noWrap w:val="0"/>
            <w:vAlign w:val="center"/>
          </w:tcPr>
          <w:p w14:paraId="075F5AD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3DF999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多元化布局情况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BADBE8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55E6C5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68F923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p w14:paraId="20E06100">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客观数据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50AC34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34CBEDFF">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主要反映参赛项目相关的其他知识产权情况，如商业秘密、商标、软著、集成电路布图、数据知识产权等，评估参赛项目知识产权立体保护情况及对商业运作的加成作用</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72A2C077">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参赛项目拥有的知识产权类型（如商业秘密、商标、软著、集成电路布图、数据知识产权等）；知识产权保护情况，及对商业运作的加成情况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03786A6">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0431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34161C2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市场前景</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C109D05">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市场空间</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3AFD48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200B8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4EB1EA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BDEDFC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00533372">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主要反映参赛项目技术应用领域的市场规模、市场前景、市场潜力，以及团队和商业模式与市场需求契合度等方面的情况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218F01BD">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参赛项目专利技术在生产领域目标市场的应用情况；目标市场对专利技术的需求，商业模式、市场需求与专利技术的契合度，专利技术的盈利路径</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2F678C4">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7AA1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037EF57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E86253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盈利能力</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3B9E6CD">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C4507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14A98CD">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p w14:paraId="437F270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客观数据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0A981B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0EA6FDC3">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主要反映项目在多领域中的年度营业收入、年度利润总额、盈利能力及发展增速等</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72782C2C">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参赛项目预计年度营业收入及利润情况，包括盈利能力、发展增速的情况等</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C68CB30">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2A97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2BDE905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43D470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可持续发展</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1BAE3B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1CD091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6D6557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79BDEB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4B721FF7">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主要反映项目落地转化后的可持续发展能力或落地转化后的发展预期</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62606656">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明确项目技术所处发展阶段，市场发展规模情况，制定相关技术迭代路线图、盈利模式等情况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6F9916C">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7E07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25FE0F1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转化效益</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7D5CC68">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bidi="ar"/>
              </w:rPr>
              <w:t>产业匹配度</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4422CF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10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5035F5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BCD4A4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A9EF32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767B3B7D">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主要反映参赛项目的技术领域与意愿落地地市产业发展需求的匹配程度，或与相关地市产业发展方向的互补程度，港澳台及国外专利与国内产业发展的适配情况等</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4DAC9DAC">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参赛项目技术与落地地市重点产业升级方向的匹配度情况，在细分领域具备的优势情况，港澳台、国外专利完成国内适配性验证情况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CCEC637">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5259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42A8C18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D31E39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bidi="ar"/>
              </w:rPr>
              <w:t>产业化程度</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B439C9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821213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2796EB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专家评审</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lang w:val="en-US" w:eastAsia="zh-CN"/>
              </w:rPr>
              <w:t>客观数据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D6EF3EE">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52851A70">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主要反映参赛项目或项目核心专利</w:t>
            </w:r>
            <w:r>
              <w:rPr>
                <w:rFonts w:hint="default" w:ascii="Times New Roman" w:hAnsi="Times New Roman" w:eastAsia="宋体" w:cs="Times New Roman"/>
                <w:sz w:val="18"/>
                <w:szCs w:val="18"/>
                <w:highlight w:val="none"/>
                <w:lang w:val="en-US" w:eastAsia="zh-CN"/>
              </w:rPr>
              <w:t>用于生产出专利产品并投放市场的情况，具体包括自行产业化、已许可专利由被许可方实现产业化、已转让专利由受让方实现产业化、由共有专利权人实现产业化等情况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06F88E50">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项目项目核心专利是否关联实际产品（或项目核心专利与实际产品的关联度），是否已转化为具体产品或服务，并具备实际产值，占比企业销售份额等具体经营指标；客观评估项目对经营成果的实际贡献和市场价值</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DEABE7A">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090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1C2B7B8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F47CC9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经济及社会效益</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7021C20">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15AF6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EDE31F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专家评审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AA88B1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05ED1514">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主要反映参赛项目或项目核心专利产生的经济及社会效益，主要包括项目转化后为目标主体及所在地市的产业发展带来的产值、税收等经济效益或预期经济效益，以及项目实施带动社会就业等社会效益等情况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5F3807E9">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技术成果对解决重大社会问题的作用，投入产出比于行业的水平，及盈利情况</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A877E9D">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685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27A98CE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sz w:val="18"/>
                <w:szCs w:val="18"/>
                <w:highlight w:val="none"/>
                <w:lang w:val="en-US" w:eastAsia="zh-CN"/>
              </w:rPr>
              <w:t>附加分</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9586F4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政策环境</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E4B063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2</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AB00E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A862FE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专家评审、客观数据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E380680">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相关地市局网站、新闻媒体等</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558590F6">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主要反映项目所在地市或项目拟落地转化地市在知识产权转化运用方面的政策法规等宏观环境建设情况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1A0ECBB3">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地市知识产权转化运用政策法规等整体情况，年度（指2024年度，下同）全市专利转让许可情况等</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32E2E32">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bCs w:val="0"/>
                <w:color w:val="000000"/>
                <w:sz w:val="18"/>
                <w:szCs w:val="18"/>
                <w:highlight w:val="none"/>
                <w:vertAlign w:val="baseline"/>
                <w:lang w:val="en-US" w:eastAsia="zh-CN"/>
              </w:rPr>
              <w:t>此项指标不需项目参赛单位提供材料</w:t>
            </w:r>
          </w:p>
        </w:tc>
      </w:tr>
      <w:tr w14:paraId="2A5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7913F629">
            <w:pPr>
              <w:pStyle w:val="4"/>
              <w:keepNext w:val="0"/>
              <w:keepLines w:val="0"/>
              <w:pageBreakBefore w:val="0"/>
              <w:widowControl w:val="0"/>
              <w:kinsoku/>
              <w:wordWrap/>
              <w:overflowPunct/>
              <w:topLinePunct w:val="0"/>
              <w:autoSpaceDE/>
              <w:autoSpaceDN/>
              <w:bidi w:val="0"/>
              <w:spacing w:line="230" w:lineRule="exact"/>
              <w:textAlignment w:val="auto"/>
              <w:rPr>
                <w:rFonts w:hint="default" w:ascii="Times New Roman" w:hAnsi="Times New Roman" w:eastAsia="宋体" w:cs="Times New Roman"/>
                <w:sz w:val="18"/>
                <w:szCs w:val="18"/>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115C2D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专利产品</w:t>
            </w:r>
            <w:r>
              <w:rPr>
                <w:rFonts w:hint="default" w:ascii="Times New Roman" w:hAnsi="Times New Roman" w:eastAsia="宋体" w:cs="Times New Roman"/>
                <w:color w:val="000000"/>
                <w:sz w:val="18"/>
                <w:szCs w:val="18"/>
                <w:highlight w:val="none"/>
                <w:lang w:eastAsia="zh-CN"/>
              </w:rPr>
              <w:t>备案</w:t>
            </w:r>
            <w:r>
              <w:rPr>
                <w:rFonts w:hint="default" w:ascii="Times New Roman" w:hAnsi="Times New Roman" w:eastAsia="宋体" w:cs="Times New Roman"/>
                <w:color w:val="000000"/>
                <w:sz w:val="18"/>
                <w:szCs w:val="18"/>
                <w:highlight w:val="none"/>
              </w:rPr>
              <w:t>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83B66ED">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3</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95347A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0E982A4">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客观指标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1A86D0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sz w:val="18"/>
                <w:szCs w:val="18"/>
                <w:highlight w:val="none"/>
              </w:rPr>
              <w:t>项目提交材料</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路演介绍</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1A4DD89D">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主要反映项目中产品或服务的专利技术集成度与知识产权价值密度的申请情况</w:t>
            </w:r>
          </w:p>
        </w:tc>
        <w:tc>
          <w:tcPr>
            <w:tcW w:w="7065" w:type="dxa"/>
            <w:tcBorders>
              <w:top w:val="single" w:color="auto" w:sz="4" w:space="0"/>
              <w:left w:val="single" w:color="auto" w:sz="4" w:space="0"/>
              <w:bottom w:val="single" w:color="auto" w:sz="4" w:space="0"/>
              <w:right w:val="single" w:color="auto" w:sz="4" w:space="0"/>
            </w:tcBorders>
            <w:noWrap w:val="0"/>
            <w:vAlign w:val="center"/>
          </w:tcPr>
          <w:p w14:paraId="013D2AB2">
            <w:pPr>
              <w:keepNext w:val="0"/>
              <w:keepLines w:val="0"/>
              <w:pageBreakBefore w:val="0"/>
              <w:widowControl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专利产品是否在国家专利密集型产品备案认定试点平台进行备案</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7DF7100">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r w14:paraId="6CDE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65" w:type="dxa"/>
            <w:gridSpan w:val="2"/>
            <w:tcBorders>
              <w:top w:val="single" w:color="auto" w:sz="4" w:space="0"/>
              <w:left w:val="single" w:color="auto" w:sz="4" w:space="0"/>
              <w:bottom w:val="single" w:color="auto" w:sz="4" w:space="0"/>
              <w:right w:val="single" w:color="auto" w:sz="4" w:space="0"/>
            </w:tcBorders>
            <w:noWrap w:val="0"/>
            <w:vAlign w:val="center"/>
          </w:tcPr>
          <w:p w14:paraId="47C65FF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合计</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B7C9B92">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10</w:t>
            </w:r>
            <w:r>
              <w:rPr>
                <w:rFonts w:hint="default" w:ascii="Times New Roman" w:hAnsi="Times New Roman" w:eastAsia="宋体" w:cs="Times New Roman"/>
                <w:color w:val="000000"/>
                <w:sz w:val="18"/>
                <w:szCs w:val="18"/>
                <w:highlight w:val="none"/>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1FD91E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1</w:t>
            </w:r>
            <w:r>
              <w:rPr>
                <w:rFonts w:hint="default" w:ascii="Times New Roman" w:hAnsi="Times New Roman" w:eastAsia="宋体" w:cs="Times New Roman"/>
                <w:color w:val="000000"/>
                <w:sz w:val="18"/>
                <w:szCs w:val="18"/>
                <w:highlight w:val="none"/>
                <w:lang w:val="en-US" w:eastAsia="zh-CN"/>
              </w:rPr>
              <w:t>05</w:t>
            </w:r>
          </w:p>
        </w:tc>
        <w:tc>
          <w:tcPr>
            <w:tcW w:w="17000" w:type="dxa"/>
            <w:gridSpan w:val="5"/>
            <w:tcBorders>
              <w:top w:val="single" w:color="auto" w:sz="4" w:space="0"/>
              <w:left w:val="single" w:color="auto" w:sz="4" w:space="0"/>
              <w:bottom w:val="single" w:color="auto" w:sz="4" w:space="0"/>
              <w:right w:val="single" w:color="auto" w:sz="4" w:space="0"/>
            </w:tcBorders>
            <w:noWrap w:val="0"/>
            <w:vAlign w:val="center"/>
          </w:tcPr>
          <w:p w14:paraId="1ACD0A26">
            <w:pPr>
              <w:keepNext w:val="0"/>
              <w:keepLines w:val="0"/>
              <w:pageBreakBefore w:val="0"/>
              <w:widowControl w:val="0"/>
              <w:kinsoku/>
              <w:wordWrap/>
              <w:overflowPunct/>
              <w:topLinePunct w:val="0"/>
              <w:autoSpaceDE/>
              <w:autoSpaceDN/>
              <w:bidi w:val="0"/>
              <w:adjustRightInd w:val="0"/>
              <w:snapToGrid w:val="0"/>
              <w:spacing w:line="230" w:lineRule="exact"/>
              <w:textAlignment w:val="auto"/>
              <w:rPr>
                <w:rFonts w:hint="default" w:ascii="Times New Roman" w:hAnsi="Times New Roman" w:eastAsia="宋体" w:cs="Times New Roman"/>
                <w:color w:val="000000"/>
                <w:sz w:val="18"/>
                <w:szCs w:val="18"/>
                <w:highlight w:val="none"/>
              </w:rPr>
            </w:pPr>
          </w:p>
        </w:tc>
      </w:tr>
    </w:tbl>
    <w:p w14:paraId="777BE8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w:t>
      </w:r>
      <w:r>
        <w:rPr>
          <w:rFonts w:hint="eastAsia" w:ascii="方正小标宋简体" w:hAnsi="方正小标宋简体" w:eastAsia="方正小标宋简体" w:cs="方正小标宋简体"/>
          <w:sz w:val="44"/>
          <w:szCs w:val="44"/>
          <w:highlight w:val="none"/>
          <w:lang w:val="en-US" w:eastAsia="zh-CN"/>
        </w:rPr>
        <w:t>四</w:t>
      </w:r>
      <w:r>
        <w:rPr>
          <w:rFonts w:hint="eastAsia" w:ascii="方正小标宋简体" w:hAnsi="方正小标宋简体" w:eastAsia="方正小标宋简体" w:cs="方正小标宋简体"/>
          <w:sz w:val="44"/>
          <w:szCs w:val="44"/>
          <w:highlight w:val="none"/>
        </w:rPr>
        <w:t>届粤创赛评分指标体系（专利</w:t>
      </w:r>
      <w:r>
        <w:rPr>
          <w:rFonts w:hint="eastAsia" w:ascii="方正小标宋简体" w:hAnsi="方正小标宋简体" w:eastAsia="方正小标宋简体" w:cs="方正小标宋简体"/>
          <w:sz w:val="44"/>
          <w:szCs w:val="44"/>
          <w:highlight w:val="none"/>
          <w:lang w:val="en-US" w:eastAsia="zh-CN"/>
        </w:rPr>
        <w:t>初创、成长组</w:t>
      </w:r>
      <w:r>
        <w:rPr>
          <w:rFonts w:hint="eastAsia" w:ascii="方正小标宋简体" w:hAnsi="方正小标宋简体" w:eastAsia="方正小标宋简体" w:cs="方正小标宋简体"/>
          <w:sz w:val="44"/>
          <w:szCs w:val="44"/>
          <w:highlight w:val="none"/>
        </w:rPr>
        <w:t>初赛）</w:t>
      </w:r>
    </w:p>
    <w:p w14:paraId="0ABBB1BE">
      <w:pPr>
        <w:spacing w:line="560" w:lineRule="exact"/>
        <w:rPr>
          <w:rFonts w:eastAsia="黑体"/>
          <w:sz w:val="44"/>
          <w:szCs w:val="44"/>
          <w:highlight w:val="none"/>
        </w:rPr>
      </w:pPr>
      <w:r>
        <w:rPr>
          <w:rFonts w:eastAsia="黑体"/>
          <w:sz w:val="32"/>
          <w:szCs w:val="32"/>
          <w:highlight w:val="none"/>
        </w:rPr>
        <w:t>附件</w:t>
      </w:r>
      <w:r>
        <w:rPr>
          <w:rFonts w:hint="eastAsia" w:eastAsia="黑体"/>
          <w:sz w:val="32"/>
          <w:szCs w:val="32"/>
          <w:highlight w:val="none"/>
        </w:rPr>
        <w:t>2</w:t>
      </w:r>
    </w:p>
    <w:p w14:paraId="4812F67D">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w:t>
      </w:r>
      <w:r>
        <w:rPr>
          <w:rFonts w:hint="eastAsia" w:ascii="方正小标宋简体" w:hAnsi="方正小标宋简体" w:eastAsia="方正小标宋简体" w:cs="方正小标宋简体"/>
          <w:sz w:val="44"/>
          <w:szCs w:val="44"/>
          <w:highlight w:val="none"/>
          <w:lang w:val="en-US" w:eastAsia="zh-CN"/>
        </w:rPr>
        <w:t>四</w:t>
      </w:r>
      <w:r>
        <w:rPr>
          <w:rFonts w:hint="eastAsia" w:ascii="方正小标宋简体" w:hAnsi="方正小标宋简体" w:eastAsia="方正小标宋简体" w:cs="方正小标宋简体"/>
          <w:sz w:val="44"/>
          <w:szCs w:val="44"/>
          <w:highlight w:val="none"/>
        </w:rPr>
        <w:t>届粤创赛评分指标体系（专利</w:t>
      </w:r>
      <w:r>
        <w:rPr>
          <w:rFonts w:hint="eastAsia" w:ascii="方正小标宋简体" w:hAnsi="方正小标宋简体" w:eastAsia="方正小标宋简体" w:cs="方正小标宋简体"/>
          <w:sz w:val="44"/>
          <w:szCs w:val="44"/>
          <w:highlight w:val="none"/>
          <w:lang w:val="en-US" w:eastAsia="zh-CN"/>
        </w:rPr>
        <w:t>初创、成长组</w:t>
      </w:r>
      <w:r>
        <w:rPr>
          <w:rFonts w:hint="eastAsia" w:ascii="方正小标宋简体" w:hAnsi="方正小标宋简体" w:eastAsia="方正小标宋简体" w:cs="方正小标宋简体"/>
          <w:sz w:val="44"/>
          <w:szCs w:val="44"/>
          <w:highlight w:val="none"/>
        </w:rPr>
        <w:t>组决赛）</w:t>
      </w:r>
    </w:p>
    <w:p w14:paraId="629684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44"/>
          <w:szCs w:val="44"/>
          <w:highlight w:val="none"/>
        </w:rPr>
      </w:pPr>
    </w:p>
    <w:tbl>
      <w:tblPr>
        <w:tblStyle w:val="6"/>
        <w:tblW w:w="21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440"/>
        <w:gridCol w:w="992"/>
        <w:gridCol w:w="1018"/>
        <w:gridCol w:w="1275"/>
        <w:gridCol w:w="1910"/>
        <w:gridCol w:w="6180"/>
        <w:gridCol w:w="6405"/>
        <w:gridCol w:w="825"/>
      </w:tblGrid>
      <w:tr w14:paraId="418E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7E4F393D">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一级指标</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2B80A582">
            <w:pPr>
              <w:tabs>
                <w:tab w:val="left" w:pos="1050"/>
              </w:tabs>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二级指标</w:t>
            </w: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14:paraId="5D2FECAF">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分值</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1DEA3C55">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评分方法</w:t>
            </w:r>
          </w:p>
        </w:tc>
        <w:tc>
          <w:tcPr>
            <w:tcW w:w="1910" w:type="dxa"/>
            <w:vMerge w:val="restart"/>
            <w:tcBorders>
              <w:top w:val="single" w:color="auto" w:sz="4" w:space="0"/>
              <w:left w:val="single" w:color="auto" w:sz="4" w:space="0"/>
              <w:bottom w:val="single" w:color="auto" w:sz="4" w:space="0"/>
              <w:right w:val="single" w:color="auto" w:sz="4" w:space="0"/>
            </w:tcBorders>
            <w:noWrap w:val="0"/>
            <w:vAlign w:val="center"/>
          </w:tcPr>
          <w:p w14:paraId="37C285D7">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数据来源</w:t>
            </w:r>
          </w:p>
        </w:tc>
        <w:tc>
          <w:tcPr>
            <w:tcW w:w="6180" w:type="dxa"/>
            <w:vMerge w:val="restart"/>
            <w:tcBorders>
              <w:top w:val="single" w:color="auto" w:sz="4" w:space="0"/>
              <w:left w:val="single" w:color="auto" w:sz="4" w:space="0"/>
              <w:bottom w:val="single" w:color="auto" w:sz="4" w:space="0"/>
              <w:right w:val="single" w:color="auto" w:sz="4" w:space="0"/>
            </w:tcBorders>
            <w:noWrap w:val="0"/>
            <w:vAlign w:val="center"/>
          </w:tcPr>
          <w:p w14:paraId="227DB4BC">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指标解释</w:t>
            </w:r>
          </w:p>
        </w:tc>
        <w:tc>
          <w:tcPr>
            <w:tcW w:w="6405" w:type="dxa"/>
            <w:vMerge w:val="restart"/>
            <w:tcBorders>
              <w:top w:val="single" w:color="auto" w:sz="4" w:space="0"/>
              <w:left w:val="single" w:color="auto" w:sz="4" w:space="0"/>
              <w:bottom w:val="single" w:color="auto" w:sz="4" w:space="0"/>
              <w:right w:val="single" w:color="auto" w:sz="4" w:space="0"/>
            </w:tcBorders>
            <w:noWrap w:val="0"/>
            <w:vAlign w:val="center"/>
          </w:tcPr>
          <w:p w14:paraId="68846D8B">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评价标准</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4886ED76">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备注</w:t>
            </w:r>
          </w:p>
        </w:tc>
      </w:tr>
      <w:tr w14:paraId="58FC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6CD7F5E4">
            <w:pPr>
              <w:adjustRightInd w:val="0"/>
              <w:snapToGrid w:val="0"/>
              <w:jc w:val="center"/>
              <w:rPr>
                <w:rFonts w:eastAsia="仿宋_GB2312"/>
                <w:sz w:val="21"/>
                <w:szCs w:val="21"/>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4CA523BB">
            <w:pPr>
              <w:adjustRightInd w:val="0"/>
              <w:snapToGrid w:val="0"/>
              <w:jc w:val="center"/>
              <w:rPr>
                <w:rFonts w:eastAsia="仿宋_GB2312"/>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DC6EAF2">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初创组</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B1F868C">
            <w:pPr>
              <w:adjustRightInd w:val="0"/>
              <w:snapToGrid w:val="0"/>
              <w:jc w:val="center"/>
              <w:rPr>
                <w:rFonts w:hint="eastAsia" w:ascii="黑体" w:hAnsi="黑体" w:eastAsia="黑体"/>
                <w:sz w:val="21"/>
                <w:szCs w:val="21"/>
                <w:highlight w:val="none"/>
              </w:rPr>
            </w:pPr>
            <w:r>
              <w:rPr>
                <w:rFonts w:hint="eastAsia" w:ascii="黑体" w:hAnsi="黑体" w:eastAsia="黑体"/>
                <w:sz w:val="21"/>
                <w:szCs w:val="21"/>
                <w:highlight w:val="none"/>
              </w:rPr>
              <w:t>成长组</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CDBDB8A">
            <w:pPr>
              <w:adjustRightInd w:val="0"/>
              <w:snapToGrid w:val="0"/>
              <w:jc w:val="center"/>
              <w:rPr>
                <w:rFonts w:eastAsia="仿宋_GB2312"/>
                <w:sz w:val="21"/>
                <w:szCs w:val="21"/>
                <w:highlight w:val="none"/>
              </w:rPr>
            </w:pPr>
          </w:p>
        </w:tc>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14:paraId="11A3D478">
            <w:pPr>
              <w:adjustRightInd w:val="0"/>
              <w:snapToGrid w:val="0"/>
              <w:jc w:val="center"/>
              <w:rPr>
                <w:rFonts w:eastAsia="仿宋_GB2312"/>
                <w:sz w:val="21"/>
                <w:szCs w:val="21"/>
                <w:highlight w:val="none"/>
              </w:rPr>
            </w:pPr>
          </w:p>
        </w:tc>
        <w:tc>
          <w:tcPr>
            <w:tcW w:w="6180" w:type="dxa"/>
            <w:vMerge w:val="continue"/>
            <w:tcBorders>
              <w:top w:val="single" w:color="auto" w:sz="4" w:space="0"/>
              <w:left w:val="single" w:color="auto" w:sz="4" w:space="0"/>
              <w:bottom w:val="single" w:color="auto" w:sz="4" w:space="0"/>
              <w:right w:val="single" w:color="auto" w:sz="4" w:space="0"/>
            </w:tcBorders>
            <w:noWrap w:val="0"/>
            <w:vAlign w:val="center"/>
          </w:tcPr>
          <w:p w14:paraId="1D946B9A">
            <w:pPr>
              <w:adjustRightInd w:val="0"/>
              <w:snapToGrid w:val="0"/>
              <w:jc w:val="center"/>
              <w:rPr>
                <w:rFonts w:eastAsia="仿宋_GB2312"/>
                <w:sz w:val="21"/>
                <w:szCs w:val="21"/>
                <w:highlight w:val="none"/>
              </w:rPr>
            </w:pPr>
          </w:p>
        </w:tc>
        <w:tc>
          <w:tcPr>
            <w:tcW w:w="6405" w:type="dxa"/>
            <w:vMerge w:val="continue"/>
            <w:tcBorders>
              <w:top w:val="single" w:color="auto" w:sz="4" w:space="0"/>
              <w:left w:val="single" w:color="auto" w:sz="4" w:space="0"/>
              <w:bottom w:val="single" w:color="auto" w:sz="4" w:space="0"/>
              <w:right w:val="single" w:color="auto" w:sz="4" w:space="0"/>
            </w:tcBorders>
            <w:noWrap w:val="0"/>
            <w:vAlign w:val="center"/>
          </w:tcPr>
          <w:p w14:paraId="0923EBF8">
            <w:pPr>
              <w:adjustRightInd w:val="0"/>
              <w:snapToGrid w:val="0"/>
              <w:jc w:val="center"/>
              <w:rPr>
                <w:rFonts w:eastAsia="仿宋_GB2312"/>
                <w:sz w:val="21"/>
                <w:szCs w:val="21"/>
                <w:highlight w:val="none"/>
              </w:rPr>
            </w:pP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3FDEE7D7">
            <w:pPr>
              <w:adjustRightInd w:val="0"/>
              <w:snapToGrid w:val="0"/>
              <w:jc w:val="center"/>
              <w:rPr>
                <w:rFonts w:eastAsia="仿宋_GB2312"/>
                <w:sz w:val="21"/>
                <w:szCs w:val="21"/>
                <w:highlight w:val="none"/>
              </w:rPr>
            </w:pPr>
          </w:p>
        </w:tc>
      </w:tr>
      <w:tr w14:paraId="5C0F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7E93B2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团队能力</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2AD75B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研发能力</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812283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4A20C0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90A273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3A14DAC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项目提交材料、路演介绍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49A8A2F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参赛团队围绕发明专利的全流程技术攻坚与创新实践能力，包括技术研发深度（核心技术突破程度、方案原创性、技术难点攻克能力）、研发过程规范性（流程科学性、数据可靠性、知识产权管理合规性）</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78F8C64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发明专利技术方案的重大突破情况，包括是否显著超越现有技术水平，技术的中试或产业化验证情况，性能稳定性及应用价值情况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9ACBEA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p>
        </w:tc>
      </w:tr>
      <w:tr w14:paraId="28AC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05A7346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81FCD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管理能力</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5BCE4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751FA4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2B25F1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F3B5D9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项目提交材料、路演介绍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292E831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主要反映团队对发明专利从研发到转化全周期的资源整合、组织协调与风险管控能力，包括专利布局规划、维护策略、侵权风险防范、研发进度把控及资源分配合理性</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739B359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专利布局情况，专利全生命周期资源调配协同情况及规避侵权风险能力情况，研发过程的权属纠纷情况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A7A937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p>
        </w:tc>
      </w:tr>
      <w:tr w14:paraId="45F5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4333A4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461053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人力资源</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D7553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2673C1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4104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773B3F1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项目提交材料</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6037966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主要反映团队人才结构合理性、专业能力适配性及协同效率，包括成员在技术研发、知识产权管理、市场运营等领域的专业覆盖与知识互补性，负责人及关键岗位人员的行业经验与学术影响力</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78425DB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团队负责人主导重大技术攻关或专利转化经验情况；成员涉及的专业领域、协作情况，成员技能与项目需求的契合度</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E80071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sz w:val="21"/>
                <w:szCs w:val="21"/>
                <w:highlight w:val="none"/>
              </w:rPr>
            </w:pPr>
          </w:p>
        </w:tc>
      </w:tr>
      <w:tr w14:paraId="6FB7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6780092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转化运用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E6F0C8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转化落地情况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208BCD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BE72ED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9BF6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9D7A94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1AA2B80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主要反映项目是否已达成转移转化落地目标（如许可转让、作价入股等），或与相关单位落实转化意向，评估转化科学合理性及实际成果与预期效益</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49DED74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落地转移转化方案和意向情况，包括成立公司、完成专利转让、许可、人才团队落地或达成作价入股等</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12B89F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79F3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CE3971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8DE8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项目融资情况</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3D0F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D933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41CA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D246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9A36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主要反映项目是否获得转移转化融资或融资意向，评估融资方案清晰度、资金使用合理性及产融结合可行性</w:t>
            </w:r>
          </w:p>
        </w:tc>
        <w:tc>
          <w:tcPr>
            <w:tcW w:w="64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9CFB7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项目转移转化落地融资情况，方案齐全度，包括融资方案、募集资金使用流向、产融结合可行性等</w:t>
            </w:r>
          </w:p>
        </w:tc>
        <w:tc>
          <w:tcPr>
            <w:tcW w:w="8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32ECB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54B3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54049E1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B6E884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项目运营情况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F2855F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E7FD39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DB8FE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03CC487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D4DAB8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主要反映专利技术的规模化生产与商业化应用程度，包括生产工艺、供应链体系、质量管控及资金分配效率</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723363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专利技术的规模化生产或多场景商业化应用情况；生产工艺、供应链体系及质量管控情况；研发、生产、运营等环节资金分配的科学性，投入产出比情况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1B91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1E15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5F9AE53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1919F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产业链上下游布局情况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CB670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86674B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393881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441B3F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59073D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主要反映项目整合产业链上下游资源的能力，评估转移转化资源整合的可行性与方案详细程度</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3F14DAE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产业链上下游资源的情况，转移转化资源整合能力情况，方案可行度</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51626A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59E0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443BE05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产业化</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EBAA2C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技术优势</w:t>
            </w:r>
          </w:p>
          <w:p w14:paraId="30AE98C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（设计优势）</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D557E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16C3AC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89A1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3FEC78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16FFDE4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主要反映项目技术发展趋势、核心专利及组合的产业竞争优势（含标准必要专利）、技术壁垒构成，若核心专利为中国港澳台地区专利或国外专利，需评估适配性改进</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54C5859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1.发明专利和实用新型专利：项目技术发展趋势情况；核心专利及专利组合包含标准必要专利情况，构建技术壁垒情况；核心专利为港澳台或国外专利的，考察国内适配情况；</w:t>
            </w:r>
          </w:p>
          <w:p w14:paraId="5F8D893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2.外观专利：专利产品创新设计思路、设计手段情况；产品独特性情况，构筑设计壁垒及生产应用情况，具备的潜力价值情况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5AA4A3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05F3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2DE6509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C1C86E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投入情况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6496CC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6AC7F7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EE4BF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E9072B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24CE5DE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主要反映项目落地转化所需的场地建设、设备购置等经费需求的合理性与可行性</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5FE5949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项目的场地建设及设备购置计划，经费使用需求的合理性等</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ABEF21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4A11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360A134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7392C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转化难度</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068AD8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400D01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32EC14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911E88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67E39E8D">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主要反映项目产业化对生产人员（学历、经验、专业能力）及设备（易得性、核心设备类型）的要求，评估转移转化的难易程度</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1F639E6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项目产业化对相关人员的需求情况；所需设备及核心设备的易得性，核心设备的外部协作情况；专利转移转化难度及转化方案的可行性情况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1540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7383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518523F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DB96F1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bidi="ar"/>
              </w:rPr>
              <w:t>产业化程度</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516078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9A7A0B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10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13F47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专家评审</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lang w:val="en-US" w:eastAsia="zh-CN"/>
              </w:rPr>
              <w:t>客观数据</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C1892C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项目提交材料</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21A8784D">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kern w:val="2"/>
                <w:sz w:val="21"/>
                <w:szCs w:val="21"/>
                <w:highlight w:val="none"/>
                <w:vertAlign w:val="baseline"/>
                <w:lang w:val="en-US" w:eastAsia="zh-CN" w:bidi="ar-SA"/>
              </w:rPr>
            </w:pPr>
            <w:r>
              <w:rPr>
                <w:rFonts w:hint="default" w:ascii="Times New Roman" w:hAnsi="Times New Roman" w:eastAsia="宋体" w:cs="Times New Roman"/>
                <w:bCs w:val="0"/>
                <w:color w:val="000000"/>
                <w:sz w:val="21"/>
                <w:szCs w:val="21"/>
                <w:highlight w:val="none"/>
                <w:vertAlign w:val="baseline"/>
                <w:lang w:val="en-US" w:eastAsia="zh-CN"/>
              </w:rPr>
              <w:t>主要反映参赛项目或项目核心专利</w:t>
            </w:r>
            <w:r>
              <w:rPr>
                <w:rFonts w:hint="default" w:ascii="Times New Roman" w:hAnsi="Times New Roman" w:eastAsia="宋体" w:cs="Times New Roman"/>
                <w:sz w:val="21"/>
                <w:szCs w:val="21"/>
                <w:highlight w:val="none"/>
                <w:lang w:val="en-US" w:eastAsia="zh-CN"/>
              </w:rPr>
              <w:t>用于生产出专利产品并投放市场的情况，具体包括自行产业化、已许可专利由被许可方实现产业化、已转让专利由受让方实现产业化、由共有专利权人实现产业化等情况</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EF5A54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kern w:val="2"/>
                <w:sz w:val="21"/>
                <w:szCs w:val="21"/>
                <w:highlight w:val="none"/>
                <w:vertAlign w:val="baseline"/>
                <w:lang w:val="en-US" w:eastAsia="zh-CN" w:bidi="ar-SA"/>
              </w:rPr>
            </w:pPr>
            <w:r>
              <w:rPr>
                <w:rFonts w:hint="default" w:ascii="Times New Roman" w:hAnsi="Times New Roman" w:eastAsia="宋体" w:cs="Times New Roman"/>
                <w:bCs w:val="0"/>
                <w:color w:val="000000"/>
                <w:sz w:val="21"/>
                <w:szCs w:val="21"/>
                <w:highlight w:val="none"/>
                <w:vertAlign w:val="baseline"/>
                <w:lang w:val="en-US" w:eastAsia="zh-CN"/>
              </w:rPr>
              <w:t>参赛项目项目核心专利是否关联实际产品（或项目核心专利与实际产品的关联度），是否已转化为具体产品或服务，并具备实际产值，占比企业销售份额等具体经营指标；客观评估项目对经营成果的实际贡献和市场价值</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BB9317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257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545FA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A4CF8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市场竞争力</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F11A5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E1318D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val="en-US" w:eastAsia="zh-CN"/>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06E1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4D5E78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76F1E6F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主要反映项目商业模式、市场运作方案、盈利模式及竞争对手态势分析，评估项目竞争优势</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667D466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项目商业模式、市场运作及盈利模式情况，对于竞争对手态势的把控情况及项目优势分析等</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52D67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125C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9DB86B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D2864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产业前景</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ED1AA8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915B5A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D78CE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D01E9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467C75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主要反映产业所处阶段（初创、成长、成熟、衰退）、项目与行业市场发展的契合度及解决行业痛点的能力，评估市场前景</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716F7C7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项目产业所处的生长周期情况，项目的市场发展境况，能否解决行业痛点，产业发展前景</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318C77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381A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25B5A7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42EC91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可持续发展</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3D623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10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383E71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CAC2BE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32482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7F1D01D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主要从产业生命周期、技术先进性、市场规模、商业模式、竞争对手态势等方面，评估转移转化后的可持续发展能力及落地预期</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73332A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项目技术与产业发展潜力如何你赶快，具备的技术迭代路线图与研发计划，及盈利稳定性</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6B31EC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266A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7CCE9E6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转化效益</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EB68FD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经济效益</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F1C1E4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4A3FE9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01A088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AD3F29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0DD61E0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主要反映项目为转化目标主体带来的直接经济效益（营收、利润、资产增长）及间接经济效益（效率提升、成本降低等）</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F413C6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项目实施带来的直接或间接经济效益情况；参赛专利对产品竞争力的提升情况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28B9D8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3220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01277F6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E138D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社会效益</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FEB321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39DF65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1D0105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专家评审</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FE71F2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7D08A87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主要反映项目对技术进步、产业升级、科学管理、教育水平的促进作用及提供就业岗位的数量与质量</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1151EFB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项目对技术进步与产业发展的促进情况；提供就业岗位及社会效益情况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650AA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54B8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60C1643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附加分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B591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获奖情况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28F68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C232EE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D6686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38EAE8A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ABAF8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主要反映参赛团队及项目已获得的权威性奖项、认证或荣誉，评估技术创新价值、市场认可度及行业影响力</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469F87D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项目专利技术获奖情况：具备的国际知识产权奖项、国家级奖项、省部级或区域级奖项、市县级奖励情况，及项目技术的关联性情况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BDB884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20CF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70771EA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5CF47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专利密集型产品认定情况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232961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3FFCE1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45811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A603B4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项目提交材料</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路演介绍</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95D9D8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主要反映项目中产品或服务的专利技术集成度与知识产权价值密度</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3707E40D">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专利产品是否被国家知识产权局认定为专利密集型产品</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4BCA17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4697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0AB9395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28678A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网络投票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919DFE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AD91A3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6A5D8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客观指标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049F30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网络投票</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71A7CB3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初赛完成后根据赛程安排将组织网络投票，根据投票情况进行分数核算</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EAACC4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宋体" w:cs="Times New Roman"/>
                <w:bCs w:val="0"/>
                <w:color w:val="000000"/>
                <w:sz w:val="21"/>
                <w:szCs w:val="21"/>
                <w:highlight w:val="none"/>
                <w:vertAlign w:val="baseline"/>
                <w:lang w:val="en-US" w:eastAsia="zh-CN"/>
              </w:rPr>
            </w:pPr>
            <w:r>
              <w:rPr>
                <w:rFonts w:hint="default" w:ascii="Times New Roman" w:hAnsi="Times New Roman" w:eastAsia="宋体" w:cs="Times New Roman"/>
                <w:bCs w:val="0"/>
                <w:color w:val="000000"/>
                <w:sz w:val="21"/>
                <w:szCs w:val="21"/>
                <w:highlight w:val="none"/>
                <w:vertAlign w:val="baseline"/>
                <w:lang w:val="en-US" w:eastAsia="zh-CN"/>
              </w:rPr>
              <w:t>0—500票（网络投票得分为总得票数除以100，得分保留小数点后两位）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5A82D5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r w14:paraId="72DD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4858AE5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分数合计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3D53DA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155F0E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110</w:t>
            </w:r>
          </w:p>
        </w:tc>
        <w:tc>
          <w:tcPr>
            <w:tcW w:w="16595" w:type="dxa"/>
            <w:gridSpan w:val="5"/>
            <w:tcBorders>
              <w:top w:val="single" w:color="auto" w:sz="4" w:space="0"/>
              <w:left w:val="single" w:color="auto" w:sz="4" w:space="0"/>
              <w:bottom w:val="single" w:color="auto" w:sz="4" w:space="0"/>
              <w:right w:val="single" w:color="auto" w:sz="4" w:space="0"/>
            </w:tcBorders>
            <w:noWrap w:val="0"/>
            <w:vAlign w:val="center"/>
          </w:tcPr>
          <w:p w14:paraId="50C0863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sz w:val="21"/>
                <w:szCs w:val="21"/>
                <w:highlight w:val="none"/>
              </w:rPr>
            </w:pPr>
          </w:p>
        </w:tc>
      </w:tr>
    </w:tbl>
    <w:p w14:paraId="027B5943">
      <w:pPr>
        <w:spacing w:line="560" w:lineRule="exact"/>
        <w:rPr>
          <w:rFonts w:eastAsia="黑体"/>
          <w:sz w:val="32"/>
          <w:szCs w:val="32"/>
          <w:highlight w:val="none"/>
        </w:rPr>
      </w:pPr>
    </w:p>
    <w:p w14:paraId="1FA0B811">
      <w:pPr>
        <w:spacing w:line="560" w:lineRule="exact"/>
        <w:rPr>
          <w:rFonts w:eastAsia="黑体"/>
          <w:sz w:val="32"/>
          <w:szCs w:val="32"/>
          <w:highlight w:val="none"/>
        </w:rPr>
      </w:pPr>
    </w:p>
    <w:p w14:paraId="102D1793">
      <w:pPr>
        <w:spacing w:line="560" w:lineRule="exact"/>
        <w:rPr>
          <w:rFonts w:eastAsia="黑体"/>
          <w:sz w:val="32"/>
          <w:szCs w:val="32"/>
          <w:highlight w:val="none"/>
        </w:rPr>
      </w:pPr>
    </w:p>
    <w:p w14:paraId="6F25F2DA">
      <w:pPr>
        <w:spacing w:line="560" w:lineRule="exact"/>
        <w:rPr>
          <w:rFonts w:eastAsia="黑体"/>
          <w:sz w:val="32"/>
          <w:szCs w:val="32"/>
          <w:highlight w:val="none"/>
        </w:rPr>
      </w:pPr>
    </w:p>
    <w:p w14:paraId="3DDBBEA2">
      <w:pPr>
        <w:spacing w:line="560" w:lineRule="exact"/>
        <w:rPr>
          <w:rFonts w:eastAsia="黑体"/>
          <w:sz w:val="32"/>
          <w:szCs w:val="32"/>
          <w:highlight w:val="none"/>
        </w:rPr>
      </w:pPr>
    </w:p>
    <w:p w14:paraId="7CF80BD3">
      <w:pPr>
        <w:pStyle w:val="4"/>
        <w:rPr>
          <w:rFonts w:eastAsia="黑体"/>
          <w:sz w:val="32"/>
          <w:szCs w:val="32"/>
          <w:highlight w:val="none"/>
        </w:rPr>
      </w:pPr>
    </w:p>
    <w:p w14:paraId="2981AD54">
      <w:pPr>
        <w:pStyle w:val="3"/>
        <w:rPr>
          <w:rFonts w:eastAsia="黑体"/>
          <w:sz w:val="32"/>
          <w:szCs w:val="32"/>
          <w:highlight w:val="none"/>
        </w:rPr>
      </w:pPr>
    </w:p>
    <w:p w14:paraId="405E4F7D">
      <w:pPr>
        <w:spacing w:line="560" w:lineRule="exact"/>
        <w:rPr>
          <w:rFonts w:eastAsia="黑体"/>
          <w:sz w:val="32"/>
          <w:szCs w:val="32"/>
          <w:highlight w:val="none"/>
        </w:rPr>
      </w:pPr>
    </w:p>
    <w:p w14:paraId="19CCE580">
      <w:pPr>
        <w:spacing w:line="560" w:lineRule="exact"/>
        <w:rPr>
          <w:rFonts w:eastAsia="黑体"/>
          <w:sz w:val="32"/>
          <w:szCs w:val="32"/>
          <w:highlight w:val="none"/>
        </w:rPr>
      </w:pPr>
    </w:p>
    <w:p w14:paraId="0D305F8D">
      <w:pPr>
        <w:spacing w:line="560" w:lineRule="exact"/>
        <w:rPr>
          <w:rFonts w:eastAsia="黑体"/>
          <w:sz w:val="32"/>
          <w:szCs w:val="32"/>
          <w:highlight w:val="none"/>
        </w:rPr>
      </w:pPr>
    </w:p>
    <w:p w14:paraId="7F704AD6">
      <w:pPr>
        <w:spacing w:line="560" w:lineRule="exact"/>
        <w:rPr>
          <w:rFonts w:eastAsia="黑体"/>
          <w:sz w:val="32"/>
          <w:szCs w:val="32"/>
          <w:highlight w:val="none"/>
        </w:rPr>
      </w:pPr>
    </w:p>
    <w:p w14:paraId="472E8558">
      <w:pPr>
        <w:spacing w:line="560" w:lineRule="exact"/>
        <w:rPr>
          <w:rFonts w:eastAsia="黑体"/>
          <w:sz w:val="32"/>
          <w:szCs w:val="32"/>
          <w:highlight w:val="none"/>
        </w:rPr>
      </w:pPr>
    </w:p>
    <w:p w14:paraId="7260918A">
      <w:pPr>
        <w:spacing w:line="560" w:lineRule="exact"/>
        <w:rPr>
          <w:rFonts w:eastAsia="黑体"/>
          <w:sz w:val="32"/>
          <w:szCs w:val="32"/>
          <w:highlight w:val="none"/>
        </w:rPr>
      </w:pPr>
    </w:p>
    <w:p w14:paraId="6D360891">
      <w:pPr>
        <w:spacing w:line="560" w:lineRule="exact"/>
        <w:rPr>
          <w:rFonts w:hint="eastAsia" w:eastAsia="黑体"/>
          <w:sz w:val="32"/>
          <w:szCs w:val="32"/>
          <w:highlight w:val="none"/>
          <w:lang w:val="en-US" w:eastAsia="zh-CN"/>
        </w:rPr>
      </w:pPr>
      <w:r>
        <w:rPr>
          <w:rFonts w:eastAsia="黑体"/>
          <w:sz w:val="32"/>
          <w:szCs w:val="32"/>
          <w:highlight w:val="none"/>
        </w:rPr>
        <w:t>附件</w:t>
      </w:r>
      <w:r>
        <w:rPr>
          <w:rFonts w:hint="eastAsia" w:eastAsia="黑体"/>
          <w:sz w:val="32"/>
          <w:szCs w:val="32"/>
          <w:highlight w:val="none"/>
          <w:lang w:val="en-US" w:eastAsia="zh-CN"/>
        </w:rPr>
        <w:t>3</w:t>
      </w:r>
    </w:p>
    <w:p w14:paraId="20D9369F">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w:t>
      </w:r>
      <w:r>
        <w:rPr>
          <w:rFonts w:hint="eastAsia" w:ascii="方正小标宋简体" w:hAnsi="方正小标宋简体" w:eastAsia="方正小标宋简体" w:cs="方正小标宋简体"/>
          <w:sz w:val="44"/>
          <w:szCs w:val="44"/>
          <w:highlight w:val="none"/>
          <w:lang w:val="en-US" w:eastAsia="zh-CN"/>
        </w:rPr>
        <w:t>四</w:t>
      </w:r>
      <w:r>
        <w:rPr>
          <w:rFonts w:hint="eastAsia" w:ascii="方正小标宋简体" w:hAnsi="方正小标宋简体" w:eastAsia="方正小标宋简体" w:cs="方正小标宋简体"/>
          <w:sz w:val="44"/>
          <w:szCs w:val="44"/>
          <w:highlight w:val="none"/>
        </w:rPr>
        <w:t>届粤创赛评分指标体系（</w:t>
      </w:r>
      <w:r>
        <w:rPr>
          <w:rFonts w:hint="eastAsia" w:ascii="方正小标宋简体" w:hAnsi="方正小标宋简体" w:eastAsia="方正小标宋简体" w:cs="方正小标宋简体"/>
          <w:sz w:val="44"/>
          <w:szCs w:val="44"/>
          <w:highlight w:val="none"/>
          <w:lang w:val="en-US" w:eastAsia="zh-CN"/>
        </w:rPr>
        <w:t>潮州特色产业组初赛</w:t>
      </w:r>
      <w:r>
        <w:rPr>
          <w:rFonts w:hint="eastAsia" w:ascii="方正小标宋简体" w:hAnsi="方正小标宋简体" w:eastAsia="方正小标宋简体" w:cs="方正小标宋简体"/>
          <w:sz w:val="44"/>
          <w:szCs w:val="44"/>
          <w:highlight w:val="none"/>
        </w:rPr>
        <w:t>）</w:t>
      </w:r>
    </w:p>
    <w:tbl>
      <w:tblPr>
        <w:tblStyle w:val="6"/>
        <w:tblpPr w:leftFromText="180" w:rightFromText="180" w:vertAnchor="text" w:horzAnchor="page" w:tblpX="1221" w:tblpY="236"/>
        <w:tblOverlap w:val="never"/>
        <w:tblW w:w="20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749"/>
        <w:gridCol w:w="915"/>
        <w:gridCol w:w="1515"/>
        <w:gridCol w:w="1861"/>
        <w:gridCol w:w="5159"/>
        <w:gridCol w:w="7671"/>
        <w:gridCol w:w="780"/>
      </w:tblGrid>
      <w:tr w14:paraId="458D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noWrap w:val="0"/>
            <w:vAlign w:val="center"/>
          </w:tcPr>
          <w:p w14:paraId="7BECB9E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lang w:eastAsia="zh-CN"/>
              </w:rPr>
              <w:t>一</w:t>
            </w:r>
            <w:r>
              <w:rPr>
                <w:rFonts w:hint="eastAsia" w:ascii="黑体" w:hAnsi="黑体" w:eastAsia="黑体" w:cs="黑体"/>
                <w:sz w:val="18"/>
                <w:szCs w:val="18"/>
                <w:highlight w:val="none"/>
              </w:rPr>
              <w:t>级指标</w:t>
            </w:r>
          </w:p>
        </w:tc>
        <w:tc>
          <w:tcPr>
            <w:tcW w:w="1749" w:type="dxa"/>
            <w:noWrap w:val="0"/>
            <w:vAlign w:val="center"/>
          </w:tcPr>
          <w:p w14:paraId="2B61649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915" w:type="dxa"/>
            <w:noWrap w:val="0"/>
            <w:vAlign w:val="center"/>
          </w:tcPr>
          <w:p w14:paraId="0BBC57E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分值</w:t>
            </w:r>
          </w:p>
        </w:tc>
        <w:tc>
          <w:tcPr>
            <w:tcW w:w="1515" w:type="dxa"/>
            <w:noWrap w:val="0"/>
            <w:vAlign w:val="center"/>
          </w:tcPr>
          <w:p w14:paraId="4B4C2E8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评分方法</w:t>
            </w:r>
          </w:p>
        </w:tc>
        <w:tc>
          <w:tcPr>
            <w:tcW w:w="1861" w:type="dxa"/>
            <w:noWrap w:val="0"/>
            <w:vAlign w:val="center"/>
          </w:tcPr>
          <w:p w14:paraId="05A18E0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数据来源</w:t>
            </w:r>
          </w:p>
        </w:tc>
        <w:tc>
          <w:tcPr>
            <w:tcW w:w="5159" w:type="dxa"/>
            <w:noWrap w:val="0"/>
            <w:vAlign w:val="center"/>
          </w:tcPr>
          <w:p w14:paraId="73CA85B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指标说明</w:t>
            </w:r>
          </w:p>
        </w:tc>
        <w:tc>
          <w:tcPr>
            <w:tcW w:w="7671" w:type="dxa"/>
            <w:noWrap w:val="0"/>
            <w:vAlign w:val="center"/>
          </w:tcPr>
          <w:p w14:paraId="4D6CE77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评价标准</w:t>
            </w:r>
          </w:p>
        </w:tc>
        <w:tc>
          <w:tcPr>
            <w:tcW w:w="780" w:type="dxa"/>
            <w:noWrap w:val="0"/>
            <w:vAlign w:val="center"/>
          </w:tcPr>
          <w:p w14:paraId="56A22F2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备注</w:t>
            </w:r>
          </w:p>
        </w:tc>
      </w:tr>
      <w:tr w14:paraId="6DE2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noWrap w:val="0"/>
            <w:vAlign w:val="center"/>
          </w:tcPr>
          <w:p w14:paraId="041969E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宏观管理 (10分)</w:t>
            </w:r>
          </w:p>
        </w:tc>
        <w:tc>
          <w:tcPr>
            <w:tcW w:w="1749" w:type="dxa"/>
            <w:noWrap w:val="0"/>
            <w:vAlign w:val="center"/>
          </w:tcPr>
          <w:p w14:paraId="36F1BD6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团队建设</w:t>
            </w:r>
          </w:p>
        </w:tc>
        <w:tc>
          <w:tcPr>
            <w:tcW w:w="915" w:type="dxa"/>
            <w:noWrap w:val="0"/>
            <w:vAlign w:val="center"/>
          </w:tcPr>
          <w:p w14:paraId="0861195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10</w:t>
            </w:r>
          </w:p>
        </w:tc>
        <w:tc>
          <w:tcPr>
            <w:tcW w:w="1515" w:type="dxa"/>
            <w:noWrap w:val="0"/>
            <w:vAlign w:val="center"/>
          </w:tcPr>
          <w:p w14:paraId="5C14819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534E5CA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0374E88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主要反映参赛项目牵头单位在研发创新平台建设、知识产权储备和激励、技术或成果转化项目实施、人才队伍建设等方面的综合情况</w:t>
            </w:r>
          </w:p>
        </w:tc>
        <w:tc>
          <w:tcPr>
            <w:tcW w:w="7671" w:type="dxa"/>
            <w:noWrap w:val="0"/>
            <w:vAlign w:val="center"/>
          </w:tcPr>
          <w:p w14:paraId="1560E8A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参赛项目的核心技术能力情况，知识产权储备丰富度及转化激励机制完善程度，专业团队与转化团队实力，以及主导重大技术攻关或专利成果转化项目的经验</w:t>
            </w:r>
          </w:p>
        </w:tc>
        <w:tc>
          <w:tcPr>
            <w:tcW w:w="780" w:type="dxa"/>
            <w:noWrap w:val="0"/>
            <w:vAlign w:val="center"/>
          </w:tcPr>
          <w:p w14:paraId="440E958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r>
      <w:tr w14:paraId="5AE9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restart"/>
            <w:noWrap w:val="0"/>
            <w:vAlign w:val="center"/>
          </w:tcPr>
          <w:p w14:paraId="2538310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专利质量 (25分)</w:t>
            </w:r>
          </w:p>
        </w:tc>
        <w:tc>
          <w:tcPr>
            <w:tcW w:w="1749" w:type="dxa"/>
            <w:noWrap w:val="0"/>
            <w:vAlign w:val="center"/>
          </w:tcPr>
          <w:p w14:paraId="6DAD87B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技术先进性（创新性）</w:t>
            </w:r>
          </w:p>
        </w:tc>
        <w:tc>
          <w:tcPr>
            <w:tcW w:w="915" w:type="dxa"/>
            <w:noWrap w:val="0"/>
            <w:vAlign w:val="center"/>
          </w:tcPr>
          <w:p w14:paraId="31D8857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15</w:t>
            </w:r>
          </w:p>
        </w:tc>
        <w:tc>
          <w:tcPr>
            <w:tcW w:w="1515" w:type="dxa"/>
            <w:noWrap w:val="0"/>
            <w:vAlign w:val="center"/>
          </w:tcPr>
          <w:p w14:paraId="0BB6B0D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1B81E68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62286F4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主要</w:t>
            </w:r>
            <w:r>
              <w:rPr>
                <w:rFonts w:hint="default" w:ascii="Times New Roman" w:hAnsi="Times New Roman" w:eastAsia="宋体" w:cs="Times New Roman"/>
                <w:color w:val="000000"/>
                <w:sz w:val="18"/>
                <w:szCs w:val="18"/>
                <w:highlight w:val="none"/>
                <w:lang w:val="en-US" w:eastAsia="zh-CN"/>
              </w:rPr>
              <w:t>反映智能卫浴核心专利的技术创新水平、行业痛点解决能力、技术成熟度（外观为设计创新与艺术价值）</w:t>
            </w:r>
          </w:p>
        </w:tc>
        <w:tc>
          <w:tcPr>
            <w:tcW w:w="7671" w:type="dxa"/>
            <w:noWrap w:val="0"/>
            <w:vAlign w:val="center"/>
          </w:tcPr>
          <w:p w14:paraId="06CCE0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创新层级是否突破行业共性痛点，是否为行业首创技术/算法/结构</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技术改进对现有技术的改进幅度，技术成熟度处于实验室研发/中试/小批量生产等阶段，核心技术参数是否达到行业标准/领先水平</w:t>
            </w:r>
          </w:p>
          <w:p w14:paraId="383698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发明专利-</w:t>
            </w:r>
            <w:r>
              <w:rPr>
                <w:rFonts w:hint="default" w:ascii="Times New Roman" w:hAnsi="Times New Roman" w:eastAsia="宋体" w:cs="Times New Roman"/>
                <w:color w:val="000000"/>
                <w:sz w:val="18"/>
                <w:szCs w:val="18"/>
                <w:highlight w:val="none"/>
              </w:rPr>
              <w:t>实用新型专利</w:t>
            </w:r>
          </w:p>
          <w:p w14:paraId="16512546">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实用创新：针对智能卫浴产品</w:t>
            </w:r>
            <w:r>
              <w:rPr>
                <w:rFonts w:hint="default" w:ascii="Times New Roman" w:hAnsi="Times New Roman" w:eastAsia="宋体" w:cs="Times New Roman"/>
                <w:color w:val="000000"/>
                <w:sz w:val="18"/>
                <w:szCs w:val="18"/>
                <w:highlight w:val="none"/>
                <w:lang w:val="en-US" w:eastAsia="zh-CN"/>
              </w:rPr>
              <w:t>改进</w:t>
            </w:r>
            <w:r>
              <w:rPr>
                <w:rFonts w:hint="default" w:ascii="Times New Roman" w:hAnsi="Times New Roman" w:eastAsia="宋体" w:cs="Times New Roman"/>
                <w:color w:val="000000"/>
                <w:sz w:val="18"/>
                <w:szCs w:val="18"/>
                <w:highlight w:val="none"/>
              </w:rPr>
              <w:t>是否有效</w:t>
            </w:r>
          </w:p>
          <w:p w14:paraId="24D798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2. 改进价值：结构创新是否带来产品性能提升、装配便捷性提高、维护成本降低等实际价值</w:t>
            </w:r>
          </w:p>
          <w:p w14:paraId="3214C7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3. 成熟度：技术方案是否可直接应用于智能卫浴产品生产，无明显设计缺陷</w:t>
            </w:r>
          </w:p>
          <w:p w14:paraId="6FFCC9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外观设计专利</w:t>
            </w:r>
          </w:p>
          <w:p w14:paraId="3A7359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 设计创新：造型、线条、色彩是否区别于市面主流智能卫浴产品，是否有独特的设计点</w:t>
            </w:r>
          </w:p>
          <w:p w14:paraId="6DA479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2. 设计价值：是否兼顾智能卫浴产品的功能特性</w:t>
            </w:r>
            <w:r>
              <w:rPr>
                <w:rFonts w:hint="default" w:ascii="Times New Roman" w:hAnsi="Times New Roman" w:eastAsia="宋体" w:cs="Times New Roman"/>
                <w:color w:val="000000"/>
                <w:sz w:val="18"/>
                <w:szCs w:val="18"/>
                <w:highlight w:val="none"/>
                <w:lang w:val="en-US" w:eastAsia="zh-CN"/>
              </w:rPr>
              <w:t>与设计感</w:t>
            </w:r>
            <w:r>
              <w:rPr>
                <w:rFonts w:hint="default" w:ascii="Times New Roman" w:hAnsi="Times New Roman" w:eastAsia="宋体" w:cs="Times New Roman"/>
                <w:color w:val="000000"/>
                <w:sz w:val="18"/>
                <w:szCs w:val="18"/>
                <w:highlight w:val="none"/>
              </w:rPr>
              <w:t>，是否适配卫浴空间装修风格</w:t>
            </w:r>
          </w:p>
          <w:p w14:paraId="224724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3. 应用情况：是否已实际应用于产品设计/批量生产，是否获得市场/行业认可</w:t>
            </w:r>
          </w:p>
        </w:tc>
        <w:tc>
          <w:tcPr>
            <w:tcW w:w="780" w:type="dxa"/>
            <w:noWrap w:val="0"/>
            <w:vAlign w:val="center"/>
          </w:tcPr>
          <w:p w14:paraId="3A3B52A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3FBA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3A4531F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462B035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权利稳定性</w:t>
            </w:r>
          </w:p>
        </w:tc>
        <w:tc>
          <w:tcPr>
            <w:tcW w:w="915" w:type="dxa"/>
            <w:noWrap w:val="0"/>
            <w:vAlign w:val="center"/>
          </w:tcPr>
          <w:p w14:paraId="327A6DE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5</w:t>
            </w:r>
          </w:p>
        </w:tc>
        <w:tc>
          <w:tcPr>
            <w:tcW w:w="1515" w:type="dxa"/>
            <w:noWrap w:val="0"/>
            <w:vAlign w:val="center"/>
          </w:tcPr>
          <w:p w14:paraId="57652AD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35BBB1D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154AF6C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主要</w:t>
            </w:r>
            <w:r>
              <w:rPr>
                <w:rFonts w:hint="default" w:ascii="Times New Roman" w:hAnsi="Times New Roman" w:eastAsia="宋体" w:cs="Times New Roman"/>
                <w:color w:val="000000"/>
                <w:sz w:val="18"/>
                <w:szCs w:val="18"/>
                <w:highlight w:val="none"/>
                <w:lang w:val="en-US" w:eastAsia="zh-CN"/>
              </w:rPr>
              <w:t>反映智能卫浴核心专利的法律状态、权属、纠纷及核心技术覆盖情况</w:t>
            </w:r>
          </w:p>
        </w:tc>
        <w:tc>
          <w:tcPr>
            <w:tcW w:w="7671" w:type="dxa"/>
            <w:noWrap w:val="0"/>
            <w:vAlign w:val="center"/>
          </w:tcPr>
          <w:p w14:paraId="7849D9C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核心技术是否为自主研发，是否依赖其他相关技术许可；专利是否授权有效，是否存在权属纠纷等情况；核心专利的权利要求是否全面覆盖智能卫浴产品的核心技术点</w:t>
            </w:r>
          </w:p>
        </w:tc>
        <w:tc>
          <w:tcPr>
            <w:tcW w:w="780" w:type="dxa"/>
            <w:noWrap w:val="0"/>
            <w:vAlign w:val="center"/>
          </w:tcPr>
          <w:p w14:paraId="3A73AAD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2468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02D87E9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560F59D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技术替代性</w:t>
            </w:r>
          </w:p>
        </w:tc>
        <w:tc>
          <w:tcPr>
            <w:tcW w:w="915" w:type="dxa"/>
            <w:noWrap w:val="0"/>
            <w:vAlign w:val="center"/>
          </w:tcPr>
          <w:p w14:paraId="43D8175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1515" w:type="dxa"/>
            <w:noWrap w:val="0"/>
            <w:vAlign w:val="center"/>
          </w:tcPr>
          <w:p w14:paraId="36D888C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260C0DD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1012AC7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主要反映智能卫浴核心专利/产品的市场替代情况、技术门槛与市场竞争力</w:t>
            </w:r>
          </w:p>
        </w:tc>
        <w:tc>
          <w:tcPr>
            <w:tcW w:w="7671" w:type="dxa"/>
            <w:noWrap w:val="0"/>
            <w:vAlign w:val="center"/>
          </w:tcPr>
          <w:p w14:paraId="3345821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当前智能卫浴市场是否存在同类技术，替代产品的成本差距</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核心技术是否具备较高技术壁垒</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专利技术是否能提升智能卫浴产品的市场核心竞争力</w:t>
            </w:r>
          </w:p>
        </w:tc>
        <w:tc>
          <w:tcPr>
            <w:tcW w:w="780" w:type="dxa"/>
            <w:noWrap w:val="0"/>
            <w:vAlign w:val="center"/>
          </w:tcPr>
          <w:p w14:paraId="101ABC6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18AA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restart"/>
            <w:noWrap w:val="0"/>
            <w:vAlign w:val="center"/>
          </w:tcPr>
          <w:p w14:paraId="64C8F11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专利布局 (30分)</w:t>
            </w:r>
          </w:p>
        </w:tc>
        <w:tc>
          <w:tcPr>
            <w:tcW w:w="1749" w:type="dxa"/>
            <w:noWrap w:val="0"/>
            <w:vAlign w:val="center"/>
          </w:tcPr>
          <w:p w14:paraId="307794C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方案可行性</w:t>
            </w:r>
          </w:p>
        </w:tc>
        <w:tc>
          <w:tcPr>
            <w:tcW w:w="915" w:type="dxa"/>
            <w:noWrap w:val="0"/>
            <w:vAlign w:val="center"/>
          </w:tcPr>
          <w:p w14:paraId="0F510FE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10</w:t>
            </w:r>
          </w:p>
        </w:tc>
        <w:tc>
          <w:tcPr>
            <w:tcW w:w="1515" w:type="dxa"/>
            <w:noWrap w:val="0"/>
            <w:vAlign w:val="center"/>
          </w:tcPr>
          <w:p w14:paraId="72C3F67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055A92B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47B949D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主要反映参赛项目或项目核心专利在落地转化的规划合理性、方案可行性等情况</w:t>
            </w:r>
          </w:p>
        </w:tc>
        <w:tc>
          <w:tcPr>
            <w:tcW w:w="7671" w:type="dxa"/>
            <w:noWrap w:val="0"/>
            <w:vAlign w:val="center"/>
          </w:tcPr>
          <w:p w14:paraId="34A36A1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参赛项目转化规划情况，包括资金预算、本地化生产或研发资源配置及团队常驻支持计划等具体步骤</w:t>
            </w:r>
          </w:p>
        </w:tc>
        <w:tc>
          <w:tcPr>
            <w:tcW w:w="780" w:type="dxa"/>
            <w:noWrap w:val="0"/>
            <w:vAlign w:val="center"/>
          </w:tcPr>
          <w:p w14:paraId="587872B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6775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47265D8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78975DF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培育布局规划</w:t>
            </w:r>
          </w:p>
        </w:tc>
        <w:tc>
          <w:tcPr>
            <w:tcW w:w="915" w:type="dxa"/>
            <w:noWrap w:val="0"/>
            <w:vAlign w:val="center"/>
          </w:tcPr>
          <w:p w14:paraId="6A8C143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5F7A793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1E99ECF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176D16C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主要反映参赛项目通过建立全流程专利导航决策及分析机制、专利申请前评估机制、专利分级分类机制等方式，对于未来知识产权培育布局的规划、思路和保护策略</w:t>
            </w:r>
          </w:p>
        </w:tc>
        <w:tc>
          <w:tcPr>
            <w:tcW w:w="7671" w:type="dxa"/>
            <w:noWrap w:val="0"/>
            <w:vAlign w:val="center"/>
          </w:tcPr>
          <w:p w14:paraId="32BCF29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参赛项目的知识产权培育布局规划和保护策略，采用的专利导航决策机制，建立事前评估、分级分类管理体系情况，以及运用创新性布局方法形成的典型经验</w:t>
            </w:r>
          </w:p>
        </w:tc>
        <w:tc>
          <w:tcPr>
            <w:tcW w:w="780" w:type="dxa"/>
            <w:noWrap w:val="0"/>
            <w:vAlign w:val="center"/>
          </w:tcPr>
          <w:p w14:paraId="6294854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158D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5C016DB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0887588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核心专利情况</w:t>
            </w:r>
          </w:p>
        </w:tc>
        <w:tc>
          <w:tcPr>
            <w:tcW w:w="915" w:type="dxa"/>
            <w:noWrap w:val="0"/>
            <w:vAlign w:val="center"/>
          </w:tcPr>
          <w:p w14:paraId="2291171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7</w:t>
            </w:r>
          </w:p>
        </w:tc>
        <w:tc>
          <w:tcPr>
            <w:tcW w:w="1515" w:type="dxa"/>
            <w:noWrap w:val="0"/>
            <w:vAlign w:val="center"/>
          </w:tcPr>
          <w:p w14:paraId="05718A7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专家评审/客观数据</w:t>
            </w:r>
          </w:p>
        </w:tc>
        <w:tc>
          <w:tcPr>
            <w:tcW w:w="1861" w:type="dxa"/>
            <w:noWrap w:val="0"/>
            <w:vAlign w:val="center"/>
          </w:tcPr>
          <w:p w14:paraId="3D26A10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69046A7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主要反映参赛项目核心专利及专利组合的数量及质量情况，以及项目核心专利、专利组合或核心技术在国家、部委、省市获得专利奖、科技奖的情况</w:t>
            </w:r>
          </w:p>
        </w:tc>
        <w:tc>
          <w:tcPr>
            <w:tcW w:w="7671" w:type="dxa"/>
            <w:noWrap w:val="0"/>
            <w:vAlign w:val="center"/>
          </w:tcPr>
          <w:p w14:paraId="5265CA7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参赛项目核心专利的保护剩余年限、权利要求数</w:t>
            </w:r>
            <w:r>
              <w:rPr>
                <w:rFonts w:hint="default" w:ascii="Times New Roman" w:hAnsi="Times New Roman" w:eastAsia="宋体" w:cs="Times New Roman"/>
                <w:color w:val="000000"/>
                <w:sz w:val="18"/>
                <w:szCs w:val="18"/>
                <w:highlight w:val="none"/>
                <w:lang w:eastAsia="zh-CN"/>
              </w:rPr>
              <w:t>、专利数量</w:t>
            </w:r>
            <w:r>
              <w:rPr>
                <w:rFonts w:hint="default" w:ascii="Times New Roman" w:hAnsi="Times New Roman" w:eastAsia="宋体" w:cs="Times New Roman"/>
                <w:color w:val="000000"/>
                <w:sz w:val="18"/>
                <w:szCs w:val="18"/>
                <w:highlight w:val="none"/>
              </w:rPr>
              <w:t>；专利组合及发明专利情况；核心专利或专利组合情况，检查国内专利（不含港澳台）申请状态情况；核心专利、专利组合、核心技术获中国专利奖等国家级或国际级奖项情况，获省级（含省政府各相关部门）奖项情况</w:t>
            </w:r>
          </w:p>
        </w:tc>
        <w:tc>
          <w:tcPr>
            <w:tcW w:w="780" w:type="dxa"/>
            <w:noWrap w:val="0"/>
            <w:vAlign w:val="center"/>
          </w:tcPr>
          <w:p w14:paraId="10E40A1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11C4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noWrap w:val="0"/>
            <w:vAlign w:val="center"/>
          </w:tcPr>
          <w:p w14:paraId="7FC5BC7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6BF08D6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lang w:eastAsia="zh-CN"/>
              </w:rPr>
              <w:t>海外专利布局</w:t>
            </w:r>
          </w:p>
        </w:tc>
        <w:tc>
          <w:tcPr>
            <w:tcW w:w="915" w:type="dxa"/>
            <w:noWrap w:val="0"/>
            <w:vAlign w:val="center"/>
          </w:tcPr>
          <w:p w14:paraId="67D2310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3</w:t>
            </w:r>
          </w:p>
        </w:tc>
        <w:tc>
          <w:tcPr>
            <w:tcW w:w="1515" w:type="dxa"/>
            <w:noWrap w:val="0"/>
            <w:vAlign w:val="center"/>
          </w:tcPr>
          <w:p w14:paraId="2A987C8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p w14:paraId="62052D4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客观数据</w:t>
            </w:r>
          </w:p>
        </w:tc>
        <w:tc>
          <w:tcPr>
            <w:tcW w:w="1861" w:type="dxa"/>
            <w:noWrap w:val="0"/>
            <w:vAlign w:val="center"/>
          </w:tcPr>
          <w:p w14:paraId="60CACFF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134379FC">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bCs w:val="0"/>
                <w:color w:val="000000"/>
                <w:sz w:val="18"/>
                <w:szCs w:val="18"/>
                <w:highlight w:val="none"/>
                <w:vertAlign w:val="baseline"/>
                <w:lang w:val="en-US" w:eastAsia="zh-CN"/>
              </w:rPr>
              <w:t>主要反映参赛项目专利海外布局数量及分布情况</w:t>
            </w:r>
          </w:p>
        </w:tc>
        <w:tc>
          <w:tcPr>
            <w:tcW w:w="7671" w:type="dxa"/>
            <w:noWrap w:val="0"/>
            <w:vAlign w:val="center"/>
          </w:tcPr>
          <w:p w14:paraId="23800502">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bCs w:val="0"/>
                <w:color w:val="000000"/>
                <w:sz w:val="18"/>
                <w:szCs w:val="18"/>
                <w:highlight w:val="none"/>
                <w:vertAlign w:val="baseline"/>
                <w:lang w:val="en-US" w:eastAsia="zh-CN"/>
              </w:rPr>
              <w:t>参赛项目海外专利数量及地区分布情况（含港澳台）</w:t>
            </w:r>
          </w:p>
        </w:tc>
        <w:tc>
          <w:tcPr>
            <w:tcW w:w="780" w:type="dxa"/>
            <w:noWrap w:val="0"/>
            <w:vAlign w:val="center"/>
          </w:tcPr>
          <w:p w14:paraId="38A5CBF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7752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noWrap w:val="0"/>
            <w:vAlign w:val="center"/>
          </w:tcPr>
          <w:p w14:paraId="107F5C4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0929832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多元化布局情况</w:t>
            </w:r>
          </w:p>
        </w:tc>
        <w:tc>
          <w:tcPr>
            <w:tcW w:w="915" w:type="dxa"/>
            <w:noWrap w:val="0"/>
            <w:vAlign w:val="center"/>
          </w:tcPr>
          <w:p w14:paraId="0B99CB3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268EA1A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专家评审/客观数据</w:t>
            </w:r>
          </w:p>
        </w:tc>
        <w:tc>
          <w:tcPr>
            <w:tcW w:w="1861" w:type="dxa"/>
            <w:noWrap w:val="0"/>
            <w:vAlign w:val="center"/>
          </w:tcPr>
          <w:p w14:paraId="4A6AB58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287B982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主要反映参赛项目相关的其他知识产权情况，如商业秘密、商标、软著、集成电路布图、数据知识产权等，评估参赛项目知识产权立体保护情况及对商业运作的加成作用</w:t>
            </w:r>
          </w:p>
        </w:tc>
        <w:tc>
          <w:tcPr>
            <w:tcW w:w="7671" w:type="dxa"/>
            <w:noWrap w:val="0"/>
            <w:vAlign w:val="center"/>
          </w:tcPr>
          <w:p w14:paraId="675105D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参赛项目拥有的知识产权类型（如商业秘密、商标、软著、集成电路布图、数据知识产权等）；知识产权保护情况，及对商业运作的加成情况</w:t>
            </w:r>
          </w:p>
        </w:tc>
        <w:tc>
          <w:tcPr>
            <w:tcW w:w="780" w:type="dxa"/>
            <w:noWrap w:val="0"/>
            <w:vAlign w:val="center"/>
          </w:tcPr>
          <w:p w14:paraId="3074C44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09D5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restart"/>
            <w:noWrap w:val="0"/>
            <w:vAlign w:val="center"/>
          </w:tcPr>
          <w:p w14:paraId="01E4AFE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市场前景 (15分)</w:t>
            </w:r>
          </w:p>
        </w:tc>
        <w:tc>
          <w:tcPr>
            <w:tcW w:w="1749" w:type="dxa"/>
            <w:noWrap w:val="0"/>
            <w:vAlign w:val="center"/>
          </w:tcPr>
          <w:p w14:paraId="18C37B9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市场空间</w:t>
            </w:r>
          </w:p>
        </w:tc>
        <w:tc>
          <w:tcPr>
            <w:tcW w:w="915" w:type="dxa"/>
            <w:noWrap w:val="0"/>
            <w:vAlign w:val="center"/>
          </w:tcPr>
          <w:p w14:paraId="2A16AC6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1D4214D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4FC3FE8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32AF950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主要反映参赛项目技术应用领域的市场规模、市场前景、市场潜力，以及团队和商业模式与市场需求契合度等方面的情况</w:t>
            </w:r>
          </w:p>
        </w:tc>
        <w:tc>
          <w:tcPr>
            <w:tcW w:w="7671" w:type="dxa"/>
            <w:noWrap w:val="0"/>
            <w:vAlign w:val="center"/>
          </w:tcPr>
          <w:p w14:paraId="6DAA706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参赛项目专利技术在生产领域目标市场的应用情况；目标市场对专利技术的需求，商业模式、市场需求与专利技术的契合度，专利技术的盈利路径</w:t>
            </w:r>
          </w:p>
        </w:tc>
        <w:tc>
          <w:tcPr>
            <w:tcW w:w="780" w:type="dxa"/>
            <w:noWrap w:val="0"/>
            <w:vAlign w:val="center"/>
          </w:tcPr>
          <w:p w14:paraId="60DECDE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7226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509AD7C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6B4AB1C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盈利能力</w:t>
            </w:r>
          </w:p>
        </w:tc>
        <w:tc>
          <w:tcPr>
            <w:tcW w:w="915" w:type="dxa"/>
            <w:noWrap w:val="0"/>
            <w:vAlign w:val="center"/>
          </w:tcPr>
          <w:p w14:paraId="4BB37FB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2B091B1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专家评审/客观数据</w:t>
            </w:r>
          </w:p>
        </w:tc>
        <w:tc>
          <w:tcPr>
            <w:tcW w:w="1861" w:type="dxa"/>
            <w:noWrap w:val="0"/>
            <w:vAlign w:val="center"/>
          </w:tcPr>
          <w:p w14:paraId="1B40EF1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5421DC8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主要反映项目在多领域中的年度营业收入、年度利润总额、盈利能力及发展增速等</w:t>
            </w:r>
          </w:p>
        </w:tc>
        <w:tc>
          <w:tcPr>
            <w:tcW w:w="7671" w:type="dxa"/>
            <w:noWrap w:val="0"/>
            <w:vAlign w:val="center"/>
          </w:tcPr>
          <w:p w14:paraId="716EECC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参赛项目预计年度营业收入及利润情况，包括盈利能力、发展增速的情况等</w:t>
            </w:r>
          </w:p>
        </w:tc>
        <w:tc>
          <w:tcPr>
            <w:tcW w:w="780" w:type="dxa"/>
            <w:noWrap w:val="0"/>
            <w:vAlign w:val="center"/>
          </w:tcPr>
          <w:p w14:paraId="25F82CA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3A3D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24F12EA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7C5068B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可持续发展</w:t>
            </w:r>
          </w:p>
        </w:tc>
        <w:tc>
          <w:tcPr>
            <w:tcW w:w="915" w:type="dxa"/>
            <w:noWrap w:val="0"/>
            <w:vAlign w:val="center"/>
          </w:tcPr>
          <w:p w14:paraId="0113524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20C3210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7B5211F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5BD73CC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主要反映项目落地转化后的可持续发展能力或落地转化后的发展预期</w:t>
            </w:r>
          </w:p>
        </w:tc>
        <w:tc>
          <w:tcPr>
            <w:tcW w:w="7671" w:type="dxa"/>
            <w:noWrap w:val="0"/>
            <w:vAlign w:val="center"/>
          </w:tcPr>
          <w:p w14:paraId="364C1DB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明确项目技术所处发展阶段，市场发展规模情况，制定相关技术迭代路线图、盈利模式等情况</w:t>
            </w:r>
          </w:p>
        </w:tc>
        <w:tc>
          <w:tcPr>
            <w:tcW w:w="780" w:type="dxa"/>
            <w:noWrap w:val="0"/>
            <w:vAlign w:val="center"/>
          </w:tcPr>
          <w:p w14:paraId="7559A37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4AFD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restart"/>
            <w:noWrap w:val="0"/>
            <w:vAlign w:val="center"/>
          </w:tcPr>
          <w:p w14:paraId="4E33F28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转化效益 (20分)</w:t>
            </w:r>
          </w:p>
        </w:tc>
        <w:tc>
          <w:tcPr>
            <w:tcW w:w="1749" w:type="dxa"/>
            <w:noWrap w:val="0"/>
            <w:vAlign w:val="center"/>
          </w:tcPr>
          <w:p w14:paraId="7CC9969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产业匹配度</w:t>
            </w:r>
          </w:p>
        </w:tc>
        <w:tc>
          <w:tcPr>
            <w:tcW w:w="915" w:type="dxa"/>
            <w:noWrap w:val="0"/>
            <w:vAlign w:val="center"/>
          </w:tcPr>
          <w:p w14:paraId="2AEBC9D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10</w:t>
            </w:r>
          </w:p>
        </w:tc>
        <w:tc>
          <w:tcPr>
            <w:tcW w:w="1515" w:type="dxa"/>
            <w:noWrap w:val="0"/>
            <w:vAlign w:val="center"/>
          </w:tcPr>
          <w:p w14:paraId="3A7E6DF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42C9BE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4C21801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主要反映智能卫浴专利与落地地市卫浴产业发展需求的匹配度，聚焦产业协同</w:t>
            </w:r>
            <w:r>
              <w:rPr>
                <w:rFonts w:hint="default" w:ascii="Times New Roman" w:hAnsi="Times New Roman" w:eastAsia="宋体" w:cs="Times New Roman"/>
                <w:color w:val="000000"/>
                <w:sz w:val="18"/>
                <w:szCs w:val="18"/>
                <w:highlight w:val="none"/>
                <w:lang w:val="en-US" w:eastAsia="zh-CN"/>
              </w:rPr>
              <w:t>及适配情况</w:t>
            </w:r>
          </w:p>
        </w:tc>
        <w:tc>
          <w:tcPr>
            <w:tcW w:w="7671" w:type="dxa"/>
            <w:noWrap w:val="0"/>
            <w:vAlign w:val="center"/>
          </w:tcPr>
          <w:p w14:paraId="5FEF7F3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项目技术是否与落地地市智能卫浴产业的升级方向匹配</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在智能卫浴细分领域是否具备技术优势，是否能弥补当地卫浴产业的短板</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港澳台及国外专利是否完成国内</w:t>
            </w:r>
            <w:r>
              <w:rPr>
                <w:rFonts w:hint="default" w:ascii="Times New Roman" w:hAnsi="Times New Roman" w:eastAsia="宋体" w:cs="Times New Roman"/>
                <w:color w:val="000000"/>
                <w:sz w:val="18"/>
                <w:szCs w:val="18"/>
                <w:highlight w:val="none"/>
                <w:lang w:val="en-US" w:eastAsia="zh-CN"/>
              </w:rPr>
              <w:t>相关</w:t>
            </w:r>
            <w:r>
              <w:rPr>
                <w:rFonts w:hint="default" w:ascii="Times New Roman" w:hAnsi="Times New Roman" w:eastAsia="宋体" w:cs="Times New Roman"/>
                <w:color w:val="000000"/>
                <w:sz w:val="18"/>
                <w:szCs w:val="18"/>
                <w:highlight w:val="none"/>
              </w:rPr>
              <w:t>产业适配验证，是否能对接国内卫浴生产工艺与市场需求</w:t>
            </w:r>
          </w:p>
        </w:tc>
        <w:tc>
          <w:tcPr>
            <w:tcW w:w="780" w:type="dxa"/>
            <w:noWrap w:val="0"/>
            <w:vAlign w:val="center"/>
          </w:tcPr>
          <w:p w14:paraId="54E7956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0801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42C326A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307C5ED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产业化程度</w:t>
            </w:r>
          </w:p>
        </w:tc>
        <w:tc>
          <w:tcPr>
            <w:tcW w:w="915" w:type="dxa"/>
            <w:noWrap w:val="0"/>
            <w:vAlign w:val="center"/>
          </w:tcPr>
          <w:p w14:paraId="01F9226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4D65536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r>
              <w:rPr>
                <w:rFonts w:hint="default" w:ascii="Times New Roman" w:hAnsi="Times New Roman" w:eastAsia="宋体" w:cs="Times New Roman"/>
                <w:color w:val="000000"/>
                <w:sz w:val="18"/>
                <w:szCs w:val="18"/>
                <w:highlight w:val="none"/>
                <w:lang w:val="en-US" w:eastAsia="zh-CN"/>
              </w:rPr>
              <w:t>/</w:t>
            </w:r>
            <w:r>
              <w:rPr>
                <w:rFonts w:hint="default" w:ascii="Times New Roman" w:hAnsi="Times New Roman" w:eastAsia="宋体" w:cs="Times New Roman"/>
                <w:color w:val="000000"/>
                <w:sz w:val="18"/>
                <w:szCs w:val="18"/>
                <w:highlight w:val="none"/>
              </w:rPr>
              <w:t>客观数据</w:t>
            </w:r>
          </w:p>
        </w:tc>
        <w:tc>
          <w:tcPr>
            <w:tcW w:w="1861" w:type="dxa"/>
            <w:noWrap w:val="0"/>
            <w:vAlign w:val="center"/>
          </w:tcPr>
          <w:p w14:paraId="4F49E24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46B960E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主要反映智能卫浴核心专利的产业化落地情况，量化产值与市场贡献</w:t>
            </w:r>
          </w:p>
        </w:tc>
        <w:tc>
          <w:tcPr>
            <w:tcW w:w="7671" w:type="dxa"/>
            <w:noWrap w:val="0"/>
            <w:vAlign w:val="center"/>
          </w:tcPr>
          <w:p w14:paraId="52816B9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核心专利是否与智能卫浴实际产品高度关联，是否已转化为具体产品</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若已产业化，专利产品的实际年产值、销售额，占企业智能卫浴产品销售份额的比例</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是否通过自主产业化、专利许可、专利转让等方式实现转化</w:t>
            </w:r>
            <w:r>
              <w:rPr>
                <w:rFonts w:hint="default" w:ascii="Times New Roman" w:hAnsi="Times New Roman" w:eastAsia="宋体" w:cs="Times New Roman"/>
                <w:color w:val="000000"/>
                <w:sz w:val="18"/>
                <w:szCs w:val="18"/>
                <w:highlight w:val="none"/>
                <w:lang w:val="en-US" w:eastAsia="zh-CN"/>
              </w:rPr>
              <w:t>情况及</w:t>
            </w:r>
            <w:r>
              <w:rPr>
                <w:rFonts w:hint="default" w:ascii="Times New Roman" w:hAnsi="Times New Roman" w:eastAsia="宋体" w:cs="Times New Roman"/>
                <w:color w:val="000000"/>
                <w:sz w:val="18"/>
                <w:szCs w:val="18"/>
                <w:highlight w:val="none"/>
              </w:rPr>
              <w:t>市场反馈</w:t>
            </w:r>
          </w:p>
        </w:tc>
        <w:tc>
          <w:tcPr>
            <w:tcW w:w="780" w:type="dxa"/>
            <w:noWrap w:val="0"/>
            <w:vAlign w:val="center"/>
          </w:tcPr>
          <w:p w14:paraId="0810242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54C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vMerge w:val="continue"/>
            <w:noWrap w:val="0"/>
            <w:vAlign w:val="center"/>
          </w:tcPr>
          <w:p w14:paraId="6724935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p>
        </w:tc>
        <w:tc>
          <w:tcPr>
            <w:tcW w:w="1749" w:type="dxa"/>
            <w:noWrap w:val="0"/>
            <w:vAlign w:val="center"/>
          </w:tcPr>
          <w:p w14:paraId="0BFB7D1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经济及社会效益</w:t>
            </w:r>
          </w:p>
        </w:tc>
        <w:tc>
          <w:tcPr>
            <w:tcW w:w="915" w:type="dxa"/>
            <w:noWrap w:val="0"/>
            <w:vAlign w:val="center"/>
          </w:tcPr>
          <w:p w14:paraId="40E7B14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3F66551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专家评审</w:t>
            </w:r>
          </w:p>
        </w:tc>
        <w:tc>
          <w:tcPr>
            <w:tcW w:w="1861" w:type="dxa"/>
            <w:noWrap w:val="0"/>
            <w:vAlign w:val="center"/>
          </w:tcPr>
          <w:p w14:paraId="7DCFA7D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w:t>
            </w:r>
          </w:p>
        </w:tc>
        <w:tc>
          <w:tcPr>
            <w:tcW w:w="5159" w:type="dxa"/>
            <w:noWrap w:val="0"/>
            <w:vAlign w:val="center"/>
          </w:tcPr>
          <w:p w14:paraId="17AC072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主要反映智能卫浴专利转化的经济、社会效益，突出卫浴行业特色价值</w:t>
            </w:r>
          </w:p>
        </w:tc>
        <w:tc>
          <w:tcPr>
            <w:tcW w:w="7671" w:type="dxa"/>
            <w:noWrap w:val="0"/>
            <w:vAlign w:val="center"/>
          </w:tcPr>
          <w:p w14:paraId="40086B4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转化后带来的预计产值，投入产出比是否达到行业先进水平</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是否带动当地智能卫浴产业的就业，是否推动卫浴产业的技术升级与产品创新</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是否能解决行业共性的社会问题</w:t>
            </w:r>
          </w:p>
        </w:tc>
        <w:tc>
          <w:tcPr>
            <w:tcW w:w="780" w:type="dxa"/>
            <w:noWrap w:val="0"/>
            <w:vAlign w:val="center"/>
          </w:tcPr>
          <w:p w14:paraId="0833716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3CF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90" w:type="dxa"/>
            <w:noWrap w:val="0"/>
            <w:vAlign w:val="center"/>
          </w:tcPr>
          <w:p w14:paraId="2D32345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附加分 (5分)</w:t>
            </w:r>
          </w:p>
        </w:tc>
        <w:tc>
          <w:tcPr>
            <w:tcW w:w="1749" w:type="dxa"/>
            <w:noWrap w:val="0"/>
            <w:vAlign w:val="center"/>
          </w:tcPr>
          <w:p w14:paraId="6D2FDD2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专利产品备案情况</w:t>
            </w:r>
          </w:p>
        </w:tc>
        <w:tc>
          <w:tcPr>
            <w:tcW w:w="915" w:type="dxa"/>
            <w:noWrap w:val="0"/>
            <w:vAlign w:val="center"/>
          </w:tcPr>
          <w:p w14:paraId="7A93EF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5</w:t>
            </w:r>
          </w:p>
        </w:tc>
        <w:tc>
          <w:tcPr>
            <w:tcW w:w="1515" w:type="dxa"/>
            <w:noWrap w:val="0"/>
            <w:vAlign w:val="center"/>
          </w:tcPr>
          <w:p w14:paraId="68D2834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客观指标</w:t>
            </w:r>
          </w:p>
        </w:tc>
        <w:tc>
          <w:tcPr>
            <w:tcW w:w="1861" w:type="dxa"/>
            <w:noWrap w:val="0"/>
            <w:vAlign w:val="center"/>
          </w:tcPr>
          <w:p w14:paraId="3EA9115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项目提交材料、路演介绍</w:t>
            </w:r>
          </w:p>
        </w:tc>
        <w:tc>
          <w:tcPr>
            <w:tcW w:w="5159" w:type="dxa"/>
            <w:noWrap w:val="0"/>
            <w:vAlign w:val="center"/>
          </w:tcPr>
          <w:p w14:paraId="5C09071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主要反映项目中产品或服务的专利技术集成度与知识产权价值密度的申请情况</w:t>
            </w:r>
          </w:p>
        </w:tc>
        <w:tc>
          <w:tcPr>
            <w:tcW w:w="7671" w:type="dxa"/>
            <w:noWrap w:val="0"/>
            <w:vAlign w:val="center"/>
          </w:tcPr>
          <w:p w14:paraId="3BB02A7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专利产品是否在国家专利密集型产品备案认定试点平台进行备案</w:t>
            </w:r>
          </w:p>
        </w:tc>
        <w:tc>
          <w:tcPr>
            <w:tcW w:w="780" w:type="dxa"/>
            <w:noWrap w:val="0"/>
            <w:vAlign w:val="center"/>
          </w:tcPr>
          <w:p w14:paraId="0BB4C42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r w14:paraId="2CB3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39" w:type="dxa"/>
            <w:gridSpan w:val="2"/>
            <w:noWrap w:val="0"/>
            <w:vAlign w:val="center"/>
          </w:tcPr>
          <w:p w14:paraId="2A44101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分数合计</w:t>
            </w:r>
          </w:p>
        </w:tc>
        <w:tc>
          <w:tcPr>
            <w:tcW w:w="915" w:type="dxa"/>
            <w:noWrap w:val="0"/>
            <w:vAlign w:val="center"/>
          </w:tcPr>
          <w:p w14:paraId="14BE74A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105</w:t>
            </w:r>
          </w:p>
        </w:tc>
        <w:tc>
          <w:tcPr>
            <w:tcW w:w="16986" w:type="dxa"/>
            <w:gridSpan w:val="5"/>
            <w:noWrap w:val="0"/>
            <w:vAlign w:val="center"/>
          </w:tcPr>
          <w:p w14:paraId="5FA94B9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sz w:val="18"/>
                <w:szCs w:val="18"/>
                <w:highlight w:val="none"/>
              </w:rPr>
            </w:pPr>
          </w:p>
        </w:tc>
      </w:tr>
    </w:tbl>
    <w:p w14:paraId="0C858218">
      <w:pPr>
        <w:spacing w:line="560" w:lineRule="exact"/>
        <w:rPr>
          <w:rFonts w:hint="eastAsia" w:eastAsia="黑体"/>
          <w:sz w:val="32"/>
          <w:szCs w:val="32"/>
          <w:highlight w:val="none"/>
          <w:lang w:val="en-US" w:eastAsia="zh-CN"/>
        </w:rPr>
      </w:pPr>
      <w:r>
        <w:rPr>
          <w:rFonts w:eastAsia="黑体"/>
          <w:sz w:val="32"/>
          <w:szCs w:val="32"/>
          <w:highlight w:val="none"/>
        </w:rPr>
        <w:t>附件</w:t>
      </w:r>
      <w:r>
        <w:rPr>
          <w:rFonts w:hint="eastAsia" w:eastAsia="黑体"/>
          <w:sz w:val="32"/>
          <w:szCs w:val="32"/>
          <w:highlight w:val="none"/>
          <w:lang w:val="en-US" w:eastAsia="zh-CN"/>
        </w:rPr>
        <w:t>4</w:t>
      </w:r>
    </w:p>
    <w:p w14:paraId="745CEEA0">
      <w:pPr>
        <w:adjustRightInd w:val="0"/>
        <w:snapToGrid w:val="0"/>
        <w:spacing w:line="58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w:t>
      </w:r>
      <w:r>
        <w:rPr>
          <w:rFonts w:hint="eastAsia" w:ascii="方正小标宋简体" w:hAnsi="方正小标宋简体" w:eastAsia="方正小标宋简体" w:cs="方正小标宋简体"/>
          <w:sz w:val="44"/>
          <w:szCs w:val="44"/>
          <w:highlight w:val="none"/>
          <w:lang w:val="en-US" w:eastAsia="zh-CN"/>
        </w:rPr>
        <w:t>四</w:t>
      </w:r>
      <w:r>
        <w:rPr>
          <w:rFonts w:hint="eastAsia" w:ascii="方正小标宋简体" w:hAnsi="方正小标宋简体" w:eastAsia="方正小标宋简体" w:cs="方正小标宋简体"/>
          <w:sz w:val="44"/>
          <w:szCs w:val="44"/>
          <w:highlight w:val="none"/>
        </w:rPr>
        <w:t>届粤创赛评分指标体系（</w:t>
      </w:r>
      <w:r>
        <w:rPr>
          <w:rFonts w:hint="eastAsia" w:ascii="方正小标宋简体" w:hAnsi="方正小标宋简体" w:eastAsia="方正小标宋简体" w:cs="方正小标宋简体"/>
          <w:sz w:val="44"/>
          <w:szCs w:val="44"/>
          <w:highlight w:val="none"/>
          <w:lang w:val="en-US" w:eastAsia="zh-CN"/>
        </w:rPr>
        <w:t>潮州特色产业组决赛</w:t>
      </w:r>
      <w:r>
        <w:rPr>
          <w:rFonts w:hint="eastAsia" w:ascii="方正小标宋简体" w:hAnsi="方正小标宋简体" w:eastAsia="方正小标宋简体" w:cs="方正小标宋简体"/>
          <w:sz w:val="44"/>
          <w:szCs w:val="44"/>
          <w:highlight w:val="none"/>
        </w:rPr>
        <w:t>）</w:t>
      </w:r>
    </w:p>
    <w:tbl>
      <w:tblPr>
        <w:tblStyle w:val="6"/>
        <w:tblW w:w="5055" w:type="pct"/>
        <w:tblInd w:w="0" w:type="dxa"/>
        <w:tblLayout w:type="autofit"/>
        <w:tblCellMar>
          <w:top w:w="0" w:type="dxa"/>
          <w:left w:w="108" w:type="dxa"/>
          <w:bottom w:w="0" w:type="dxa"/>
          <w:right w:w="108" w:type="dxa"/>
        </w:tblCellMar>
      </w:tblPr>
      <w:tblGrid>
        <w:gridCol w:w="1256"/>
        <w:gridCol w:w="1560"/>
        <w:gridCol w:w="1091"/>
        <w:gridCol w:w="1472"/>
        <w:gridCol w:w="1835"/>
        <w:gridCol w:w="5552"/>
        <w:gridCol w:w="7328"/>
        <w:gridCol w:w="1045"/>
      </w:tblGrid>
      <w:tr w14:paraId="1A7A341D">
        <w:tblPrEx>
          <w:tblCellMar>
            <w:top w:w="0" w:type="dxa"/>
            <w:left w:w="108" w:type="dxa"/>
            <w:bottom w:w="0" w:type="dxa"/>
            <w:right w:w="108" w:type="dxa"/>
          </w:tblCellMar>
        </w:tblPrEx>
        <w:trPr>
          <w:trHeight w:val="806" w:hRule="atLeast"/>
        </w:trPr>
        <w:tc>
          <w:tcPr>
            <w:tcW w:w="1256" w:type="dxa"/>
            <w:tcBorders>
              <w:top w:val="single" w:color="222222" w:sz="6" w:space="0"/>
              <w:left w:val="single" w:color="222222" w:sz="6" w:space="0"/>
              <w:bottom w:val="single" w:color="222222" w:sz="6" w:space="0"/>
              <w:right w:val="single" w:color="222222" w:sz="6" w:space="0"/>
            </w:tcBorders>
            <w:noWrap w:val="0"/>
            <w:vAlign w:val="center"/>
          </w:tcPr>
          <w:p w14:paraId="318BF2C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Times New Roman"/>
                <w:sz w:val="21"/>
                <w:szCs w:val="21"/>
                <w:highlight w:val="none"/>
                <w:lang w:eastAsia="zh-CN"/>
              </w:rPr>
            </w:pPr>
            <w:r>
              <w:rPr>
                <w:rFonts w:hint="eastAsia" w:ascii="黑体" w:hAnsi="黑体" w:eastAsia="黑体" w:cs="Times New Roman"/>
                <w:sz w:val="21"/>
                <w:szCs w:val="21"/>
                <w:highlight w:val="none"/>
                <w:lang w:eastAsia="zh-CN"/>
              </w:rPr>
              <w:t>一级指标</w:t>
            </w: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6EB543A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Times New Roman"/>
                <w:sz w:val="21"/>
                <w:szCs w:val="21"/>
                <w:highlight w:val="none"/>
                <w:lang w:eastAsia="zh-CN"/>
              </w:rPr>
            </w:pPr>
            <w:r>
              <w:rPr>
                <w:rFonts w:hint="eastAsia" w:ascii="黑体" w:hAnsi="黑体" w:eastAsia="黑体" w:cs="Times New Roman"/>
                <w:sz w:val="21"/>
                <w:szCs w:val="21"/>
                <w:highlight w:val="none"/>
                <w:lang w:eastAsia="zh-CN"/>
              </w:rPr>
              <w:t>二级指标</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04E1996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Times New Roman"/>
                <w:sz w:val="21"/>
                <w:szCs w:val="21"/>
                <w:highlight w:val="none"/>
                <w:lang w:eastAsia="zh-CN"/>
              </w:rPr>
            </w:pPr>
            <w:r>
              <w:rPr>
                <w:rFonts w:hint="eastAsia" w:ascii="黑体" w:hAnsi="黑体" w:eastAsia="黑体" w:cs="Times New Roman"/>
                <w:sz w:val="21"/>
                <w:szCs w:val="21"/>
                <w:highlight w:val="none"/>
                <w:lang w:eastAsia="zh-CN"/>
              </w:rPr>
              <w:t>分值</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5C4011F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Times New Roman"/>
                <w:sz w:val="21"/>
                <w:szCs w:val="21"/>
                <w:highlight w:val="none"/>
                <w:lang w:eastAsia="zh-CN"/>
              </w:rPr>
            </w:pPr>
            <w:r>
              <w:rPr>
                <w:rFonts w:hint="eastAsia" w:ascii="黑体" w:hAnsi="黑体" w:eastAsia="黑体" w:cs="Times New Roman"/>
                <w:sz w:val="21"/>
                <w:szCs w:val="21"/>
                <w:highlight w:val="none"/>
                <w:lang w:eastAsia="zh-CN"/>
              </w:rPr>
              <w:t>评分方法</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2077F7A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Times New Roman"/>
                <w:sz w:val="21"/>
                <w:szCs w:val="21"/>
                <w:highlight w:val="none"/>
                <w:lang w:eastAsia="zh-CN"/>
              </w:rPr>
            </w:pPr>
            <w:r>
              <w:rPr>
                <w:rFonts w:hint="eastAsia" w:ascii="黑体" w:hAnsi="黑体" w:eastAsia="黑体" w:cs="Times New Roman"/>
                <w:sz w:val="21"/>
                <w:szCs w:val="21"/>
                <w:highlight w:val="none"/>
                <w:lang w:eastAsia="zh-CN"/>
              </w:rPr>
              <w:t>数据来源</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6D448DF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Times New Roman"/>
                <w:sz w:val="21"/>
                <w:szCs w:val="21"/>
                <w:highlight w:val="none"/>
                <w:lang w:eastAsia="zh-CN"/>
              </w:rPr>
            </w:pPr>
            <w:r>
              <w:rPr>
                <w:rFonts w:hint="eastAsia" w:ascii="黑体" w:hAnsi="黑体" w:eastAsia="黑体" w:cs="Times New Roman"/>
                <w:sz w:val="21"/>
                <w:szCs w:val="21"/>
                <w:highlight w:val="none"/>
                <w:lang w:eastAsia="zh-CN"/>
              </w:rPr>
              <w:t>指标说明</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5BC4851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Times New Roman"/>
                <w:sz w:val="21"/>
                <w:szCs w:val="21"/>
                <w:highlight w:val="none"/>
                <w:lang w:eastAsia="zh-CN"/>
              </w:rPr>
            </w:pPr>
            <w:r>
              <w:rPr>
                <w:rFonts w:hint="eastAsia" w:ascii="黑体" w:hAnsi="黑体" w:eastAsia="黑体" w:cs="Times New Roman"/>
                <w:sz w:val="21"/>
                <w:szCs w:val="21"/>
                <w:highlight w:val="none"/>
                <w:lang w:eastAsia="zh-CN"/>
              </w:rPr>
              <w:t>评价标准</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7649471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黑体" w:hAnsi="黑体" w:eastAsia="黑体" w:cs="Times New Roman"/>
                <w:sz w:val="21"/>
                <w:szCs w:val="21"/>
                <w:highlight w:val="none"/>
                <w:lang w:val="en-US" w:eastAsia="zh-CN"/>
              </w:rPr>
            </w:pPr>
            <w:r>
              <w:rPr>
                <w:rFonts w:hint="eastAsia" w:ascii="黑体" w:hAnsi="黑体" w:eastAsia="黑体" w:cs="Times New Roman"/>
                <w:sz w:val="21"/>
                <w:szCs w:val="21"/>
                <w:highlight w:val="none"/>
                <w:lang w:val="en-US" w:eastAsia="zh-CN"/>
              </w:rPr>
              <w:t>备注</w:t>
            </w:r>
          </w:p>
        </w:tc>
      </w:tr>
      <w:tr w14:paraId="11A2FAF2">
        <w:tblPrEx>
          <w:tblCellMar>
            <w:top w:w="0" w:type="dxa"/>
            <w:left w:w="108" w:type="dxa"/>
            <w:bottom w:w="0" w:type="dxa"/>
            <w:right w:w="108" w:type="dxa"/>
          </w:tblCellMar>
        </w:tblPrEx>
        <w:trPr>
          <w:trHeight w:val="23" w:hRule="atLeast"/>
        </w:trPr>
        <w:tc>
          <w:tcPr>
            <w:tcW w:w="1256" w:type="dxa"/>
            <w:vMerge w:val="restart"/>
            <w:tcBorders>
              <w:top w:val="single" w:color="222222" w:sz="6" w:space="0"/>
              <w:left w:val="single" w:color="222222" w:sz="6" w:space="0"/>
              <w:right w:val="single" w:color="222222" w:sz="6" w:space="0"/>
            </w:tcBorders>
            <w:noWrap w:val="0"/>
            <w:vAlign w:val="center"/>
          </w:tcPr>
          <w:p w14:paraId="6B43D37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团队能力 (15分)</w:t>
            </w: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5561B0C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研发能力</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6C6FA0D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7289FD92">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39EBAAC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55F5266C">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主要反映参赛团队围绕发明专利的全流程技术攻坚与创新实践能力，包括技术研发深度、研发过程规范性</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5EB51144">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发明专利技术方案的重大突破情况，包括是否显著超越现有技术水平，技术的中试或产业化验证情况，性能稳定性及应用价值情况</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025F85F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4E22CE13">
        <w:tblPrEx>
          <w:tblCellMar>
            <w:top w:w="0" w:type="dxa"/>
            <w:left w:w="108" w:type="dxa"/>
            <w:bottom w:w="0" w:type="dxa"/>
            <w:right w:w="108" w:type="dxa"/>
          </w:tblCellMar>
        </w:tblPrEx>
        <w:trPr>
          <w:trHeight w:val="23" w:hRule="atLeast"/>
        </w:trPr>
        <w:tc>
          <w:tcPr>
            <w:tcW w:w="1256" w:type="dxa"/>
            <w:vMerge w:val="continue"/>
            <w:tcBorders>
              <w:left w:val="single" w:color="222222" w:sz="6" w:space="0"/>
              <w:right w:val="single" w:color="222222" w:sz="6" w:space="0"/>
            </w:tcBorders>
            <w:noWrap w:val="0"/>
            <w:vAlign w:val="center"/>
          </w:tcPr>
          <w:p w14:paraId="121F7A7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1E47611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管理能力</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6DF4F41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054F45A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6FFFDB6B">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7066AAB2">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主要反映团队对发明专利从研发到转化全周期的资源整合、组织协调与风险管控能力</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5C8DCEC0">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专利布局情况，专利全生命周期资源调配协同情况及规避侵权风险能力情况，研发过程的权属纠纷情况</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195F903B">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6600FF45">
        <w:tblPrEx>
          <w:tblCellMar>
            <w:top w:w="0" w:type="dxa"/>
            <w:left w:w="108" w:type="dxa"/>
            <w:bottom w:w="0" w:type="dxa"/>
            <w:right w:w="108" w:type="dxa"/>
          </w:tblCellMar>
        </w:tblPrEx>
        <w:trPr>
          <w:trHeight w:val="23" w:hRule="atLeast"/>
        </w:trPr>
        <w:tc>
          <w:tcPr>
            <w:tcW w:w="1256" w:type="dxa"/>
            <w:vMerge w:val="continue"/>
            <w:tcBorders>
              <w:left w:val="single" w:color="222222" w:sz="6" w:space="0"/>
              <w:bottom w:val="single" w:color="222222" w:sz="6" w:space="0"/>
              <w:right w:val="single" w:color="222222" w:sz="6" w:space="0"/>
            </w:tcBorders>
            <w:noWrap w:val="0"/>
            <w:vAlign w:val="center"/>
          </w:tcPr>
          <w:p w14:paraId="5E11F2E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05D558A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人力资源</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0DCB60C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2835AA2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4CC88F4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424A0686">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主要反映团队人才结构合理性、专业能力适配性及协同效率</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09001735">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团队负责人主导重大技术攻关或专利转化经验情况；成员涉及的专业领域、协作情况，成员技能与项目需求的契合度</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3A51DD37">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2A6C6F87">
        <w:tblPrEx>
          <w:tblCellMar>
            <w:top w:w="0" w:type="dxa"/>
            <w:left w:w="108" w:type="dxa"/>
            <w:bottom w:w="0" w:type="dxa"/>
            <w:right w:w="108" w:type="dxa"/>
          </w:tblCellMar>
        </w:tblPrEx>
        <w:trPr>
          <w:trHeight w:val="23" w:hRule="atLeast"/>
        </w:trPr>
        <w:tc>
          <w:tcPr>
            <w:tcW w:w="1256" w:type="dxa"/>
            <w:vMerge w:val="restart"/>
            <w:tcBorders>
              <w:top w:val="single" w:color="222222" w:sz="6" w:space="0"/>
              <w:left w:val="single" w:color="222222" w:sz="6" w:space="0"/>
              <w:right w:val="single" w:color="222222" w:sz="6" w:space="0"/>
            </w:tcBorders>
            <w:noWrap w:val="0"/>
            <w:vAlign w:val="center"/>
          </w:tcPr>
          <w:p w14:paraId="6E2DE102">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转化运用 (20分)</w:t>
            </w: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4738C297">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转化落地情况</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57651DE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4FD5988B">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249FFD6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3A3EC9F9">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主要反映项目是否已达成转移转化落地目标，或与相关单位落实转化意向，评估转化科学合理性及实际成果与预期效益</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6FE3571B">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落地转移转化方案和意向情况，包括成立公司、完成专利转让、许可、人才团队落地或达成作价入股等</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612CEA5F">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4C8B08D6">
        <w:tblPrEx>
          <w:tblCellMar>
            <w:top w:w="0" w:type="dxa"/>
            <w:left w:w="108" w:type="dxa"/>
            <w:bottom w:w="0" w:type="dxa"/>
            <w:right w:w="108" w:type="dxa"/>
          </w:tblCellMar>
        </w:tblPrEx>
        <w:trPr>
          <w:trHeight w:val="23" w:hRule="atLeast"/>
        </w:trPr>
        <w:tc>
          <w:tcPr>
            <w:tcW w:w="1256" w:type="dxa"/>
            <w:vMerge w:val="continue"/>
            <w:tcBorders>
              <w:left w:val="single" w:color="222222" w:sz="6" w:space="0"/>
              <w:right w:val="single" w:color="222222" w:sz="6" w:space="0"/>
            </w:tcBorders>
            <w:noWrap w:val="0"/>
            <w:vAlign w:val="center"/>
          </w:tcPr>
          <w:p w14:paraId="03963C57">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322F111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项目融资情况</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75891B5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349575A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0F57A1A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0F07707C">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主要反映项目是否获得转移转化融资或融资意向，评估融资方案清晰度、资金使用合理性及产融结合可行性</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22CFBAEE">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项目转移转化落地融资情况，方案齐全度，包括融资方案、募集资金使用流向、产融结合可行性等</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2A6E1DE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121D807F">
        <w:tblPrEx>
          <w:tblCellMar>
            <w:top w:w="0" w:type="dxa"/>
            <w:left w:w="108" w:type="dxa"/>
            <w:bottom w:w="0" w:type="dxa"/>
            <w:right w:w="108" w:type="dxa"/>
          </w:tblCellMar>
        </w:tblPrEx>
        <w:trPr>
          <w:trHeight w:val="23" w:hRule="atLeast"/>
        </w:trPr>
        <w:tc>
          <w:tcPr>
            <w:tcW w:w="1256" w:type="dxa"/>
            <w:vMerge w:val="continue"/>
            <w:tcBorders>
              <w:left w:val="single" w:color="222222" w:sz="6" w:space="0"/>
              <w:right w:val="single" w:color="222222" w:sz="6" w:space="0"/>
            </w:tcBorders>
            <w:noWrap w:val="0"/>
            <w:vAlign w:val="center"/>
          </w:tcPr>
          <w:p w14:paraId="79E76FD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2F40C2F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项目运营情况</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53E1C69C">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24D7CD5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31D47AE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1F9BB88D">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主要反映专利技术的规模化生产与商业化应用程度</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3A1C13C6">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专利技术的规模化生产或多场景商业化应用情况；生产工艺、供应链体系及质量管控情况；研发、生产、运营等环节资金分配的科学性，投入产出比情况</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73AED10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35B3E5A2">
        <w:tblPrEx>
          <w:tblCellMar>
            <w:top w:w="0" w:type="dxa"/>
            <w:left w:w="108" w:type="dxa"/>
            <w:bottom w:w="0" w:type="dxa"/>
            <w:right w:w="108" w:type="dxa"/>
          </w:tblCellMar>
        </w:tblPrEx>
        <w:trPr>
          <w:trHeight w:val="23" w:hRule="atLeast"/>
        </w:trPr>
        <w:tc>
          <w:tcPr>
            <w:tcW w:w="1256" w:type="dxa"/>
            <w:vMerge w:val="continue"/>
            <w:tcBorders>
              <w:left w:val="single" w:color="222222" w:sz="6" w:space="0"/>
              <w:bottom w:val="single" w:color="auto" w:sz="4" w:space="0"/>
              <w:right w:val="single" w:color="222222" w:sz="6" w:space="0"/>
            </w:tcBorders>
            <w:noWrap w:val="0"/>
            <w:vAlign w:val="center"/>
          </w:tcPr>
          <w:p w14:paraId="37242B4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2D19252F">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产业链上下游布局情况</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4EB8C2E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1416F69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61DC779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06A43A7D">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主要反映项目整合产业链上下游资源的能力，评估转移转化资源整合的可行性与方案详细程度</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2A79C02C">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产业链上下游资源的情况，转移转化资源整合能力情况，方案可行度</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4CC915A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4A6279DB">
        <w:tblPrEx>
          <w:tblCellMar>
            <w:top w:w="0" w:type="dxa"/>
            <w:left w:w="108" w:type="dxa"/>
            <w:bottom w:w="0" w:type="dxa"/>
            <w:right w:w="108" w:type="dxa"/>
          </w:tblCellMar>
        </w:tblPrEx>
        <w:trPr>
          <w:trHeight w:val="23" w:hRule="atLeast"/>
        </w:trPr>
        <w:tc>
          <w:tcPr>
            <w:tcW w:w="1256" w:type="dxa"/>
            <w:vMerge w:val="restart"/>
            <w:tcBorders>
              <w:top w:val="single" w:color="auto" w:sz="4" w:space="0"/>
              <w:left w:val="single" w:color="auto" w:sz="4" w:space="0"/>
              <w:bottom w:val="single" w:color="auto" w:sz="4" w:space="0"/>
              <w:right w:val="single" w:color="auto" w:sz="4" w:space="0"/>
            </w:tcBorders>
            <w:noWrap w:val="0"/>
            <w:vAlign w:val="center"/>
          </w:tcPr>
          <w:p w14:paraId="6CA129C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产业化 (50分)</w:t>
            </w: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64F1C19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技术优势（设计优势）</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0BA71B8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10</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354D114C">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7E9EE94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71F4A92F">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主要反映智能卫浴专利的产业竞争优势、核心技术设计壁垒构成，贴合卫浴行业发展趋势</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2582713C">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i w:val="0"/>
                <w:iCs w:val="0"/>
                <w:color w:val="000000"/>
                <w:kern w:val="2"/>
                <w:sz w:val="21"/>
                <w:szCs w:val="21"/>
                <w:highlight w:val="none"/>
                <w:u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发明专利、实用新型专利：核心技术是否具备较高复制难度，是否形成智能卫浴细分领域的技术壁垒；技术是否贴合智能卫浴行业发展方向（绿色节能、健康抗菌、适老化、全屋智能联动等等）；技术是否能让产品形成差异化竞争提升市场占有率</w:t>
            </w:r>
          </w:p>
          <w:p w14:paraId="06F5336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外观设计专利是否具备独特设计点，是否申请外观专利且可形成系列化设计，构筑品牌设计壁垒；设计是否贴合当下卫浴消费趋势，适配不同卫浴空间风格；设计是否能提升产品辨识度，带动产品销售</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44639C3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71AB1AF5">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5EFD977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6C3751B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投入情况</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0A86475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65DDA5F2">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44B5EB4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3F2785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主要反映智能卫浴专利产业化落地所需场地、设备、资金投入的合理性与可行性，贴合卫浴生产特性</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48C0375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i w:val="0"/>
                <w:iCs w:val="0"/>
                <w:color w:val="000000"/>
                <w:kern w:val="2"/>
                <w:sz w:val="21"/>
                <w:szCs w:val="21"/>
                <w:highlight w:val="none"/>
                <w:u w:val="none"/>
                <w:lang w:val="en-US" w:eastAsia="zh-CN" w:bidi="ar"/>
              </w:rPr>
              <w:t>产业化场地是否适配智能卫浴产品生产需求；所需生产设备是否为智能卫浴量产通用设备，设备购置计划清晰合理；建设经费需求与项目融资能力、产业化目标匹配，规划科学</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206C6FB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0B1ACA18">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1420A85C">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6132E14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转化难度</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22D4628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3CA19D4B">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1C4CF7D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5EAB9EA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主要反映智能卫浴产业化对人员、设备的要求，评估转化难度与解决方案的可行性</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421C6D4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产业化所需技术人员是否为卫浴行业通用人才，无特殊稀缺人才依赖；核心生产设备易得，无需定制或外部深度协作；针对转化难点是否制定具体解决方案，专利转化难度低、落地周期短</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1B4ED3C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13F41F09">
        <w:tblPrEx>
          <w:tblCellMar>
            <w:top w:w="0" w:type="dxa"/>
            <w:left w:w="108" w:type="dxa"/>
            <w:bottom w:w="0" w:type="dxa"/>
            <w:right w:w="108" w:type="dxa"/>
          </w:tblCellMar>
        </w:tblPrEx>
        <w:trPr>
          <w:trHeight w:val="1320"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7BD8463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5C49EE8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产业化程度</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1DC8F16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10</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3AE49E5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专家评审、客观数据</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738F7BA7">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75EF9D6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主要反映智能卫浴核心专利与实际产品的关联度、产业化落地的实际产值与市场贡献</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222258D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核心专利是否为智能卫浴产品核心技术，与产品高度绑定，无专利与产品脱节；若已产业化，专利产品近1—2年的实际年产值、销售额，占企业智能卫浴产品销售份额的比例；专利产品对企业市场拓展、品牌提升的实际作用</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63D4F4A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005EC1D2">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5B6F5D0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7BC4A0D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市场竞争力</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02F3D47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74A9FBA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33907C3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343649E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主要反映智能卫浴专利产品的商业模式、市场运作方案及核心竞争优势，结合行业竞品分析</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6B27502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是否适配智能卫浴产品特点，商业模式清晰且可复制；对智能卫浴行业主流竞品的技术优势分析精准，明确产品的差异化竞争点；盈利模式稳定且可持续，具备规模化盈利潜力</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1FA7707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000000"/>
                <w:sz w:val="21"/>
                <w:szCs w:val="21"/>
                <w:highlight w:val="none"/>
                <w:lang w:val="en-US" w:eastAsia="zh-CN"/>
              </w:rPr>
            </w:pPr>
          </w:p>
        </w:tc>
      </w:tr>
      <w:tr w14:paraId="141CE5E6">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7FA816B0">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0BBADE0F">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产业前景</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4A96290C">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5387FE78">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3D0F14D9">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3FB6111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主要反映智能卫浴专利所属细分赛道的发展前景，项目解决行业痛点的能力及市场契合度</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124F674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专利所属智能卫浴细分赛道是否为蓝海市场，行业增长率高；项目是否能解决智能卫浴行业实际痛点市场需求明确；项目技术与智能卫浴市场消费需求高度契合，产业发展前景广阔</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79041CC9">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r w14:paraId="62010960">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56CE80AC">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6144C499">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可持续发展</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0C7E87F0">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10</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66D50CE9">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58165E71">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2E78C95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主要从智能卫浴产业生命周期、技术迭代、盈利稳定性等方面，评估专利转化后的长期可持续发展能力</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72CAEDD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是否制定清晰的智能卫浴技术迭代路线，能紧跟行业趋势，持续升级产品；专利所属细分赛道处于上升期，项目能依托技术优势拓展产品品类；具备稳定的市场需求、供应链体系和销售渠道，盈利模式不受短期市场波动影响；有持续的研发投入计划，保障产品技术的领先性，形成长期竞争优势</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663206A2">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r w14:paraId="20B514D8">
        <w:tblPrEx>
          <w:tblCellMar>
            <w:top w:w="0" w:type="dxa"/>
            <w:left w:w="108" w:type="dxa"/>
            <w:bottom w:w="0" w:type="dxa"/>
            <w:right w:w="108" w:type="dxa"/>
          </w:tblCellMar>
        </w:tblPrEx>
        <w:trPr>
          <w:trHeight w:val="23" w:hRule="atLeast"/>
        </w:trPr>
        <w:tc>
          <w:tcPr>
            <w:tcW w:w="1256" w:type="dxa"/>
            <w:vMerge w:val="restart"/>
            <w:tcBorders>
              <w:top w:val="single" w:color="auto" w:sz="4" w:space="0"/>
              <w:left w:val="single" w:color="auto" w:sz="4" w:space="0"/>
              <w:bottom w:val="single" w:color="auto" w:sz="4" w:space="0"/>
              <w:right w:val="single" w:color="auto" w:sz="4" w:space="0"/>
            </w:tcBorders>
            <w:noWrap w:val="0"/>
            <w:vAlign w:val="center"/>
          </w:tcPr>
          <w:p w14:paraId="46669988">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转化效益 (15分)</w:t>
            </w: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0FE761B7">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经济效益</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01B609F4">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10</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1AEFBF47">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78892003">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6B30D62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主要反映智能卫浴专利转化为目标主体带来的直接、间接经济效益，量化评估专利价值</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7C7485E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专利转化后带来的实际、预计年产值、利润、税收，专利产品的毛利率、市场占有率等指标达行业中上水平；专利技术对企业智能卫浴产品体系的升级带动作用；专利显著提升产品核心竞争力，实现产品价值较高，或降低生产成本</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00B4FD24">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r w14:paraId="571FC7BB">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14:paraId="6C9ACEB8">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auto" w:sz="4" w:space="0"/>
              <w:bottom w:val="single" w:color="222222" w:sz="6" w:space="0"/>
              <w:right w:val="single" w:color="222222" w:sz="6" w:space="0"/>
            </w:tcBorders>
            <w:noWrap w:val="0"/>
            <w:vAlign w:val="center"/>
          </w:tcPr>
          <w:p w14:paraId="186AC6D0">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社会效益</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1B36DE6F">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1BDCE23F">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专家评审</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11591620">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2F06941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主要反映智能卫浴专利转化对行业技术进步、产业升级的促进作用，及就业、社会民生的贡献</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7F2356D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宋体" w:cs="Times New Roman"/>
                <w:color w:val="000000"/>
                <w:sz w:val="21"/>
                <w:szCs w:val="21"/>
                <w:highlight w:val="none"/>
                <w:lang w:val="en-US" w:eastAsia="zh-CN" w:bidi="ar"/>
              </w:rPr>
            </w:pPr>
            <w:r>
              <w:rPr>
                <w:rFonts w:hint="default" w:ascii="Times New Roman" w:hAnsi="Times New Roman" w:eastAsia="宋体" w:cs="Times New Roman"/>
                <w:i w:val="0"/>
                <w:iCs w:val="0"/>
                <w:color w:val="000000"/>
                <w:kern w:val="2"/>
                <w:sz w:val="21"/>
                <w:szCs w:val="21"/>
                <w:highlight w:val="none"/>
                <w:u w:val="none"/>
                <w:lang w:val="en-US" w:eastAsia="zh-CN" w:bidi="ar"/>
              </w:rPr>
              <w:t>推动智能卫浴行业技术创新，带动行业产品，促进产业智能制造升级；为落地地市带来实际、预计就业岗位；专利技术解决社会民生问题，具备良好的社会公益价值</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5C681E53">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r w14:paraId="29206AB7">
        <w:tblPrEx>
          <w:tblCellMar>
            <w:top w:w="0" w:type="dxa"/>
            <w:left w:w="108" w:type="dxa"/>
            <w:bottom w:w="0" w:type="dxa"/>
            <w:right w:w="108" w:type="dxa"/>
          </w:tblCellMar>
        </w:tblPrEx>
        <w:trPr>
          <w:trHeight w:val="23" w:hRule="atLeast"/>
        </w:trPr>
        <w:tc>
          <w:tcPr>
            <w:tcW w:w="1256" w:type="dxa"/>
            <w:vMerge w:val="restart"/>
            <w:tcBorders>
              <w:top w:val="single" w:color="auto" w:sz="4" w:space="0"/>
              <w:left w:val="single" w:color="222222" w:sz="6" w:space="0"/>
              <w:bottom w:val="single" w:color="auto" w:sz="4" w:space="0"/>
              <w:right w:val="single" w:color="222222" w:sz="6" w:space="0"/>
            </w:tcBorders>
            <w:noWrap w:val="0"/>
            <w:vAlign w:val="center"/>
          </w:tcPr>
          <w:p w14:paraId="3E17E109">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附加分 (10分)</w:t>
            </w: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34784E71">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获奖情况</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1E383819">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3</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2CBC2705">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22BA80B7">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70A9DDE9">
            <w:pPr>
              <w:keepNext w:val="0"/>
              <w:keepLines w:val="0"/>
              <w:pageBreakBefore w:val="0"/>
              <w:kinsoku/>
              <w:wordWrap/>
              <w:overflowPunct/>
              <w:topLinePunct w:val="0"/>
              <w:autoSpaceDE/>
              <w:autoSpaceDN/>
              <w:bidi w:val="0"/>
              <w:adjustRightInd w:val="0"/>
              <w:snapToGrid w:val="0"/>
              <w:spacing w:line="32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主要反映参赛团队及项目已获得的权威性奖项、认证或荣誉</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026B4A24">
            <w:pPr>
              <w:keepNext w:val="0"/>
              <w:keepLines w:val="0"/>
              <w:pageBreakBefore w:val="0"/>
              <w:kinsoku/>
              <w:wordWrap/>
              <w:overflowPunct/>
              <w:topLinePunct w:val="0"/>
              <w:autoSpaceDE/>
              <w:autoSpaceDN/>
              <w:bidi w:val="0"/>
              <w:adjustRightInd w:val="0"/>
              <w:snapToGrid w:val="0"/>
              <w:spacing w:line="32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项目专利技术获奖情况：具备的国际知识产权奖项、国家级奖项、省部级或区域级奖项、市县级奖励情况，及项目技术的关联性情况</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0EB711AD">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r w14:paraId="2AB1DBBC">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222222" w:sz="6" w:space="0"/>
              <w:bottom w:val="single" w:color="auto" w:sz="4" w:space="0"/>
              <w:right w:val="single" w:color="222222" w:sz="6" w:space="0"/>
            </w:tcBorders>
            <w:noWrap w:val="0"/>
            <w:vAlign w:val="center"/>
          </w:tcPr>
          <w:p w14:paraId="48E11DBD">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222222" w:sz="6" w:space="0"/>
              <w:bottom w:val="single" w:color="222222" w:sz="6" w:space="0"/>
              <w:right w:val="single" w:color="222222" w:sz="6" w:space="0"/>
            </w:tcBorders>
            <w:noWrap w:val="0"/>
            <w:vAlign w:val="center"/>
          </w:tcPr>
          <w:p w14:paraId="69CC6ABD">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专利密集型产品认定情况</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22B226C5">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2</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4EB05EDB">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2177A146">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项目提交材料、路演介绍</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01544824">
            <w:pPr>
              <w:keepNext w:val="0"/>
              <w:keepLines w:val="0"/>
              <w:pageBreakBefore w:val="0"/>
              <w:kinsoku/>
              <w:wordWrap/>
              <w:overflowPunct/>
              <w:topLinePunct w:val="0"/>
              <w:autoSpaceDE/>
              <w:autoSpaceDN/>
              <w:bidi w:val="0"/>
              <w:adjustRightInd w:val="0"/>
              <w:snapToGrid w:val="0"/>
              <w:spacing w:line="32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主要反映项目中产品或服务的专利技术集成度与知识产权价值密度</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7DAC380A">
            <w:pPr>
              <w:keepNext w:val="0"/>
              <w:keepLines w:val="0"/>
              <w:pageBreakBefore w:val="0"/>
              <w:kinsoku/>
              <w:wordWrap/>
              <w:overflowPunct/>
              <w:topLinePunct w:val="0"/>
              <w:autoSpaceDE/>
              <w:autoSpaceDN/>
              <w:bidi w:val="0"/>
              <w:adjustRightInd w:val="0"/>
              <w:snapToGrid w:val="0"/>
              <w:spacing w:line="32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专利产品是否被国家知识产权局认定为专利密集型产品</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406CC314">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r w14:paraId="330591E6">
        <w:tblPrEx>
          <w:tblCellMar>
            <w:top w:w="0" w:type="dxa"/>
            <w:left w:w="108" w:type="dxa"/>
            <w:bottom w:w="0" w:type="dxa"/>
            <w:right w:w="108" w:type="dxa"/>
          </w:tblCellMar>
        </w:tblPrEx>
        <w:trPr>
          <w:trHeight w:val="23" w:hRule="atLeast"/>
        </w:trPr>
        <w:tc>
          <w:tcPr>
            <w:tcW w:w="1256" w:type="dxa"/>
            <w:vMerge w:val="continue"/>
            <w:tcBorders>
              <w:top w:val="single" w:color="auto" w:sz="4" w:space="0"/>
              <w:left w:val="single" w:color="222222" w:sz="6" w:space="0"/>
              <w:bottom w:val="single" w:color="auto" w:sz="4" w:space="0"/>
              <w:right w:val="single" w:color="222222" w:sz="6" w:space="0"/>
            </w:tcBorders>
            <w:noWrap w:val="0"/>
            <w:vAlign w:val="center"/>
          </w:tcPr>
          <w:p w14:paraId="25D7010B">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c>
          <w:tcPr>
            <w:tcW w:w="1560" w:type="dxa"/>
            <w:tcBorders>
              <w:top w:val="single" w:color="222222" w:sz="6" w:space="0"/>
              <w:left w:val="single" w:color="222222" w:sz="6" w:space="0"/>
              <w:bottom w:val="single" w:color="auto" w:sz="4" w:space="0"/>
              <w:right w:val="single" w:color="222222" w:sz="6" w:space="0"/>
            </w:tcBorders>
            <w:noWrap w:val="0"/>
            <w:vAlign w:val="center"/>
          </w:tcPr>
          <w:p w14:paraId="4253E525">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网络投票</w:t>
            </w:r>
          </w:p>
        </w:tc>
        <w:tc>
          <w:tcPr>
            <w:tcW w:w="1091" w:type="dxa"/>
            <w:tcBorders>
              <w:top w:val="single" w:color="222222" w:sz="6" w:space="0"/>
              <w:left w:val="single" w:color="222222" w:sz="6" w:space="0"/>
              <w:bottom w:val="single" w:color="222222" w:sz="6" w:space="0"/>
              <w:right w:val="single" w:color="222222" w:sz="6" w:space="0"/>
            </w:tcBorders>
            <w:noWrap w:val="0"/>
            <w:vAlign w:val="center"/>
          </w:tcPr>
          <w:p w14:paraId="4B0D41D4">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5</w:t>
            </w:r>
          </w:p>
        </w:tc>
        <w:tc>
          <w:tcPr>
            <w:tcW w:w="1472" w:type="dxa"/>
            <w:tcBorders>
              <w:top w:val="single" w:color="222222" w:sz="6" w:space="0"/>
              <w:left w:val="single" w:color="222222" w:sz="6" w:space="0"/>
              <w:bottom w:val="single" w:color="222222" w:sz="6" w:space="0"/>
              <w:right w:val="single" w:color="222222" w:sz="6" w:space="0"/>
            </w:tcBorders>
            <w:noWrap w:val="0"/>
            <w:vAlign w:val="center"/>
          </w:tcPr>
          <w:p w14:paraId="6555825C">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客观指标</w:t>
            </w:r>
          </w:p>
        </w:tc>
        <w:tc>
          <w:tcPr>
            <w:tcW w:w="1835" w:type="dxa"/>
            <w:tcBorders>
              <w:top w:val="single" w:color="222222" w:sz="6" w:space="0"/>
              <w:left w:val="single" w:color="222222" w:sz="6" w:space="0"/>
              <w:bottom w:val="single" w:color="222222" w:sz="6" w:space="0"/>
              <w:right w:val="single" w:color="222222" w:sz="6" w:space="0"/>
            </w:tcBorders>
            <w:noWrap w:val="0"/>
            <w:vAlign w:val="center"/>
          </w:tcPr>
          <w:p w14:paraId="317699A8">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网络投票</w:t>
            </w:r>
          </w:p>
        </w:tc>
        <w:tc>
          <w:tcPr>
            <w:tcW w:w="5552" w:type="dxa"/>
            <w:tcBorders>
              <w:top w:val="single" w:color="222222" w:sz="6" w:space="0"/>
              <w:left w:val="single" w:color="222222" w:sz="6" w:space="0"/>
              <w:bottom w:val="single" w:color="222222" w:sz="6" w:space="0"/>
              <w:right w:val="single" w:color="222222" w:sz="6" w:space="0"/>
            </w:tcBorders>
            <w:noWrap w:val="0"/>
            <w:vAlign w:val="center"/>
          </w:tcPr>
          <w:p w14:paraId="07339D01">
            <w:pPr>
              <w:keepNext w:val="0"/>
              <w:keepLines w:val="0"/>
              <w:pageBreakBefore w:val="0"/>
              <w:kinsoku/>
              <w:wordWrap/>
              <w:overflowPunct/>
              <w:topLinePunct w:val="0"/>
              <w:autoSpaceDE/>
              <w:autoSpaceDN/>
              <w:bidi w:val="0"/>
              <w:adjustRightInd w:val="0"/>
              <w:snapToGrid w:val="0"/>
              <w:spacing w:line="32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初赛完成后根据赛程安排将组织网络投票，根据投票情况进行分数核算</w:t>
            </w:r>
          </w:p>
        </w:tc>
        <w:tc>
          <w:tcPr>
            <w:tcW w:w="7328" w:type="dxa"/>
            <w:tcBorders>
              <w:top w:val="single" w:color="222222" w:sz="6" w:space="0"/>
              <w:left w:val="single" w:color="222222" w:sz="6" w:space="0"/>
              <w:bottom w:val="single" w:color="222222" w:sz="6" w:space="0"/>
              <w:right w:val="single" w:color="222222" w:sz="6" w:space="0"/>
            </w:tcBorders>
            <w:noWrap w:val="0"/>
            <w:vAlign w:val="center"/>
          </w:tcPr>
          <w:p w14:paraId="127D4983">
            <w:pPr>
              <w:keepNext w:val="0"/>
              <w:keepLines w:val="0"/>
              <w:pageBreakBefore w:val="0"/>
              <w:kinsoku/>
              <w:wordWrap/>
              <w:overflowPunct/>
              <w:topLinePunct w:val="0"/>
              <w:autoSpaceDE/>
              <w:autoSpaceDN/>
              <w:bidi w:val="0"/>
              <w:adjustRightInd w:val="0"/>
              <w:snapToGrid w:val="0"/>
              <w:spacing w:line="320" w:lineRule="exact"/>
              <w:jc w:val="left"/>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0—500票（网络投票得分为总得票数除以100，得分保留小数点后两位）</w:t>
            </w:r>
          </w:p>
        </w:tc>
        <w:tc>
          <w:tcPr>
            <w:tcW w:w="1045" w:type="dxa"/>
            <w:tcBorders>
              <w:top w:val="single" w:color="222222" w:sz="6" w:space="0"/>
              <w:left w:val="single" w:color="222222" w:sz="6" w:space="0"/>
              <w:bottom w:val="single" w:color="222222" w:sz="6" w:space="0"/>
              <w:right w:val="single" w:color="222222" w:sz="6" w:space="0"/>
            </w:tcBorders>
            <w:noWrap w:val="0"/>
            <w:vAlign w:val="center"/>
          </w:tcPr>
          <w:p w14:paraId="41365185">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r w14:paraId="053CA569">
        <w:tblPrEx>
          <w:tblCellMar>
            <w:top w:w="0" w:type="dxa"/>
            <w:left w:w="108" w:type="dxa"/>
            <w:bottom w:w="0" w:type="dxa"/>
            <w:right w:w="108" w:type="dxa"/>
          </w:tblCellMar>
        </w:tblPrEx>
        <w:trPr>
          <w:trHeight w:val="23" w:hRule="atLeast"/>
        </w:trPr>
        <w:tc>
          <w:tcPr>
            <w:tcW w:w="2816" w:type="dxa"/>
            <w:gridSpan w:val="2"/>
            <w:tcBorders>
              <w:top w:val="single" w:color="auto" w:sz="4" w:space="0"/>
              <w:left w:val="single" w:color="auto" w:sz="4" w:space="0"/>
              <w:bottom w:val="single" w:color="auto" w:sz="4" w:space="0"/>
              <w:right w:val="single" w:color="auto" w:sz="4" w:space="0"/>
            </w:tcBorders>
            <w:noWrap w:val="0"/>
            <w:vAlign w:val="center"/>
          </w:tcPr>
          <w:p w14:paraId="10FF89A2">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分数合计</w:t>
            </w:r>
          </w:p>
        </w:tc>
        <w:tc>
          <w:tcPr>
            <w:tcW w:w="1091" w:type="dxa"/>
            <w:tcBorders>
              <w:top w:val="single" w:color="222222" w:sz="6" w:space="0"/>
              <w:left w:val="single" w:color="auto" w:sz="4" w:space="0"/>
              <w:bottom w:val="single" w:color="222222" w:sz="6" w:space="0"/>
              <w:right w:val="single" w:color="222222" w:sz="6" w:space="0"/>
            </w:tcBorders>
            <w:noWrap w:val="0"/>
            <w:vAlign w:val="center"/>
          </w:tcPr>
          <w:p w14:paraId="165DA10D">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110</w:t>
            </w:r>
          </w:p>
        </w:tc>
        <w:tc>
          <w:tcPr>
            <w:tcW w:w="17232" w:type="dxa"/>
            <w:gridSpan w:val="5"/>
            <w:tcBorders>
              <w:top w:val="single" w:color="222222" w:sz="6" w:space="0"/>
              <w:left w:val="single" w:color="222222" w:sz="6" w:space="0"/>
              <w:bottom w:val="single" w:color="222222" w:sz="6" w:space="0"/>
              <w:right w:val="single" w:color="222222" w:sz="6" w:space="0"/>
            </w:tcBorders>
            <w:noWrap w:val="0"/>
            <w:vAlign w:val="center"/>
          </w:tcPr>
          <w:p w14:paraId="0C10E9A8">
            <w:pPr>
              <w:keepNext w:val="0"/>
              <w:keepLines w:val="0"/>
              <w:pageBreakBefore w:val="0"/>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color w:val="000000"/>
                <w:sz w:val="21"/>
                <w:szCs w:val="21"/>
                <w:highlight w:val="none"/>
                <w:lang w:val="en-US" w:eastAsia="zh-CN"/>
              </w:rPr>
            </w:pPr>
          </w:p>
        </w:tc>
      </w:tr>
    </w:tbl>
    <w:p w14:paraId="160B06B6">
      <w:pPr>
        <w:rPr>
          <w:rFonts w:hint="eastAsia" w:eastAsia="黑体"/>
          <w:sz w:val="32"/>
          <w:szCs w:val="32"/>
          <w:highlight w:val="none"/>
          <w:lang w:val="en-US" w:eastAsia="zh-CN"/>
        </w:rPr>
      </w:pPr>
      <w:r>
        <w:rPr>
          <w:rFonts w:eastAsia="黑体"/>
          <w:sz w:val="32"/>
          <w:szCs w:val="32"/>
          <w:highlight w:val="none"/>
        </w:rPr>
        <w:br w:type="page"/>
      </w:r>
      <w:r>
        <w:rPr>
          <w:rFonts w:eastAsia="黑体"/>
          <w:sz w:val="32"/>
          <w:szCs w:val="32"/>
          <w:highlight w:val="none"/>
        </w:rPr>
        <w:t>附件</w:t>
      </w:r>
      <w:r>
        <w:rPr>
          <w:rFonts w:hint="eastAsia" w:eastAsia="黑体"/>
          <w:sz w:val="32"/>
          <w:szCs w:val="32"/>
          <w:highlight w:val="none"/>
          <w:lang w:val="en-US" w:eastAsia="zh-CN"/>
        </w:rPr>
        <w:t>5</w:t>
      </w:r>
    </w:p>
    <w:p w14:paraId="3B3559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第</w:t>
      </w:r>
      <w:r>
        <w:rPr>
          <w:rFonts w:hint="eastAsia" w:ascii="方正小标宋简体" w:hAnsi="方正小标宋简体" w:eastAsia="方正小标宋简体" w:cs="方正小标宋简体"/>
          <w:sz w:val="40"/>
          <w:szCs w:val="40"/>
          <w:highlight w:val="none"/>
          <w:lang w:val="en-US" w:eastAsia="zh-CN"/>
        </w:rPr>
        <w:t>四</w:t>
      </w:r>
      <w:r>
        <w:rPr>
          <w:rFonts w:hint="eastAsia" w:ascii="方正小标宋简体" w:hAnsi="方正小标宋简体" w:eastAsia="方正小标宋简体" w:cs="方正小标宋简体"/>
          <w:sz w:val="40"/>
          <w:szCs w:val="40"/>
          <w:highlight w:val="none"/>
        </w:rPr>
        <w:t>届粤创赛评分指标体系（商标组）</w:t>
      </w:r>
    </w:p>
    <w:tbl>
      <w:tblPr>
        <w:tblStyle w:val="6"/>
        <w:tblpPr w:leftFromText="180" w:rightFromText="180" w:vertAnchor="text" w:horzAnchor="page" w:tblpX="1436" w:tblpY="85"/>
        <w:tblOverlap w:val="never"/>
        <w:tblW w:w="21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125"/>
        <w:gridCol w:w="795"/>
        <w:gridCol w:w="810"/>
        <w:gridCol w:w="1119"/>
        <w:gridCol w:w="2385"/>
        <w:gridCol w:w="3855"/>
        <w:gridCol w:w="7095"/>
        <w:gridCol w:w="1730"/>
      </w:tblGrid>
      <w:tr w14:paraId="7E78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restart"/>
            <w:noWrap w:val="0"/>
            <w:vAlign w:val="center"/>
          </w:tcPr>
          <w:p w14:paraId="04D73041">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lang w:eastAsia="zh-CN"/>
              </w:rPr>
              <w:t>一</w:t>
            </w:r>
            <w:r>
              <w:rPr>
                <w:rFonts w:hint="eastAsia" w:ascii="黑体" w:hAnsi="黑体" w:eastAsia="黑体" w:cs="黑体"/>
                <w:sz w:val="18"/>
                <w:szCs w:val="18"/>
                <w:highlight w:val="none"/>
              </w:rPr>
              <w:t>级指标</w:t>
            </w:r>
          </w:p>
        </w:tc>
        <w:tc>
          <w:tcPr>
            <w:tcW w:w="2125" w:type="dxa"/>
            <w:vMerge w:val="restart"/>
            <w:noWrap w:val="0"/>
            <w:vAlign w:val="center"/>
          </w:tcPr>
          <w:p w14:paraId="000DA583">
            <w:pPr>
              <w:keepNext w:val="0"/>
              <w:keepLines w:val="0"/>
              <w:pageBreakBefore w:val="0"/>
              <w:widowControl w:val="0"/>
              <w:tabs>
                <w:tab w:val="left" w:pos="1050"/>
              </w:tabs>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1605" w:type="dxa"/>
            <w:gridSpan w:val="2"/>
            <w:noWrap w:val="0"/>
            <w:vAlign w:val="center"/>
          </w:tcPr>
          <w:p w14:paraId="434FD8A5">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分值</w:t>
            </w:r>
          </w:p>
        </w:tc>
        <w:tc>
          <w:tcPr>
            <w:tcW w:w="1119" w:type="dxa"/>
            <w:vMerge w:val="restart"/>
            <w:noWrap w:val="0"/>
            <w:vAlign w:val="center"/>
          </w:tcPr>
          <w:p w14:paraId="5C5B1655">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评分方法</w:t>
            </w:r>
          </w:p>
        </w:tc>
        <w:tc>
          <w:tcPr>
            <w:tcW w:w="2385" w:type="dxa"/>
            <w:vMerge w:val="restart"/>
            <w:noWrap w:val="0"/>
            <w:vAlign w:val="center"/>
          </w:tcPr>
          <w:p w14:paraId="38F6B0A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数据来源</w:t>
            </w:r>
          </w:p>
        </w:tc>
        <w:tc>
          <w:tcPr>
            <w:tcW w:w="3855" w:type="dxa"/>
            <w:vMerge w:val="restart"/>
            <w:noWrap w:val="0"/>
            <w:vAlign w:val="center"/>
          </w:tcPr>
          <w:p w14:paraId="739BDC39">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指标说明</w:t>
            </w:r>
          </w:p>
        </w:tc>
        <w:tc>
          <w:tcPr>
            <w:tcW w:w="7095" w:type="dxa"/>
            <w:vMerge w:val="restart"/>
            <w:noWrap w:val="0"/>
            <w:vAlign w:val="center"/>
          </w:tcPr>
          <w:p w14:paraId="3015279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评价标准</w:t>
            </w:r>
          </w:p>
        </w:tc>
        <w:tc>
          <w:tcPr>
            <w:tcW w:w="1730" w:type="dxa"/>
            <w:vMerge w:val="restart"/>
            <w:noWrap w:val="0"/>
            <w:vAlign w:val="center"/>
          </w:tcPr>
          <w:p w14:paraId="08E2D6EA">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备注</w:t>
            </w:r>
          </w:p>
        </w:tc>
      </w:tr>
      <w:tr w14:paraId="127F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71794E19">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sz w:val="18"/>
                <w:szCs w:val="18"/>
                <w:highlight w:val="none"/>
                <w:lang w:eastAsia="zh-CN"/>
              </w:rPr>
            </w:pPr>
          </w:p>
        </w:tc>
        <w:tc>
          <w:tcPr>
            <w:tcW w:w="2125" w:type="dxa"/>
            <w:vMerge w:val="continue"/>
            <w:noWrap w:val="0"/>
            <w:vAlign w:val="center"/>
          </w:tcPr>
          <w:p w14:paraId="29803FDC">
            <w:pPr>
              <w:keepNext w:val="0"/>
              <w:keepLines w:val="0"/>
              <w:pageBreakBefore w:val="0"/>
              <w:widowControl w:val="0"/>
              <w:tabs>
                <w:tab w:val="left" w:pos="1050"/>
              </w:tabs>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sz w:val="18"/>
                <w:szCs w:val="18"/>
                <w:highlight w:val="none"/>
              </w:rPr>
            </w:pPr>
          </w:p>
        </w:tc>
        <w:tc>
          <w:tcPr>
            <w:tcW w:w="795" w:type="dxa"/>
            <w:noWrap w:val="0"/>
            <w:vAlign w:val="center"/>
          </w:tcPr>
          <w:p w14:paraId="262132D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sz w:val="18"/>
                <w:szCs w:val="18"/>
                <w:highlight w:val="none"/>
                <w:lang w:eastAsia="zh-CN"/>
              </w:rPr>
            </w:pPr>
            <w:r>
              <w:rPr>
                <w:rFonts w:hint="eastAsia" w:ascii="黑体" w:hAnsi="黑体" w:eastAsia="黑体" w:cs="黑体"/>
                <w:sz w:val="18"/>
                <w:szCs w:val="18"/>
                <w:highlight w:val="none"/>
                <w:lang w:eastAsia="zh-CN"/>
              </w:rPr>
              <w:t>初赛</w:t>
            </w:r>
          </w:p>
        </w:tc>
        <w:tc>
          <w:tcPr>
            <w:tcW w:w="810" w:type="dxa"/>
            <w:noWrap w:val="0"/>
            <w:vAlign w:val="center"/>
          </w:tcPr>
          <w:p w14:paraId="42F09AEB">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黑体" w:hAnsi="黑体" w:eastAsia="黑体" w:cs="黑体"/>
                <w:sz w:val="18"/>
                <w:szCs w:val="18"/>
                <w:highlight w:val="none"/>
                <w:lang w:eastAsia="zh-CN"/>
              </w:rPr>
            </w:pPr>
            <w:r>
              <w:rPr>
                <w:rFonts w:hint="eastAsia" w:ascii="黑体" w:hAnsi="黑体" w:eastAsia="黑体" w:cs="黑体"/>
                <w:sz w:val="18"/>
                <w:szCs w:val="18"/>
                <w:highlight w:val="none"/>
                <w:lang w:eastAsia="zh-CN"/>
              </w:rPr>
              <w:t>决赛</w:t>
            </w:r>
          </w:p>
        </w:tc>
        <w:tc>
          <w:tcPr>
            <w:tcW w:w="1119" w:type="dxa"/>
            <w:vMerge w:val="continue"/>
            <w:noWrap w:val="0"/>
            <w:vAlign w:val="center"/>
          </w:tcPr>
          <w:p w14:paraId="21DD6C66">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385" w:type="dxa"/>
            <w:vMerge w:val="continue"/>
            <w:noWrap w:val="0"/>
            <w:vAlign w:val="center"/>
          </w:tcPr>
          <w:p w14:paraId="0095813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3855" w:type="dxa"/>
            <w:vMerge w:val="continue"/>
            <w:noWrap w:val="0"/>
            <w:vAlign w:val="center"/>
          </w:tcPr>
          <w:p w14:paraId="477DB74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7095" w:type="dxa"/>
            <w:vMerge w:val="continue"/>
            <w:noWrap w:val="0"/>
            <w:vAlign w:val="center"/>
          </w:tcPr>
          <w:p w14:paraId="422BB8B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1730" w:type="dxa"/>
            <w:vMerge w:val="continue"/>
            <w:noWrap w:val="0"/>
            <w:vAlign w:val="center"/>
          </w:tcPr>
          <w:p w14:paraId="5F86985F">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r>
      <w:tr w14:paraId="0117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restart"/>
            <w:noWrap w:val="0"/>
            <w:vAlign w:val="center"/>
          </w:tcPr>
          <w:p w14:paraId="65DE2F4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宏观环境</w:t>
            </w:r>
          </w:p>
        </w:tc>
        <w:tc>
          <w:tcPr>
            <w:tcW w:w="2125" w:type="dxa"/>
            <w:noWrap w:val="0"/>
            <w:vAlign w:val="center"/>
          </w:tcPr>
          <w:p w14:paraId="283CED7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组织动员</w:t>
            </w:r>
          </w:p>
        </w:tc>
        <w:tc>
          <w:tcPr>
            <w:tcW w:w="795" w:type="dxa"/>
            <w:noWrap w:val="0"/>
            <w:vAlign w:val="center"/>
          </w:tcPr>
          <w:p w14:paraId="59DF24C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w:t>
            </w:r>
          </w:p>
        </w:tc>
        <w:tc>
          <w:tcPr>
            <w:tcW w:w="810" w:type="dxa"/>
            <w:noWrap w:val="0"/>
            <w:vAlign w:val="center"/>
          </w:tcPr>
          <w:p w14:paraId="12A6DF1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1119" w:type="dxa"/>
            <w:noWrap w:val="0"/>
            <w:vAlign w:val="center"/>
          </w:tcPr>
          <w:p w14:paraId="141A1E5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客观数据</w:t>
            </w:r>
          </w:p>
        </w:tc>
        <w:tc>
          <w:tcPr>
            <w:tcW w:w="2385" w:type="dxa"/>
            <w:noWrap w:val="0"/>
            <w:vAlign w:val="center"/>
          </w:tcPr>
          <w:p w14:paraId="7EAF4DD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国家知识产权局或省市场监管局相关数据通报</w:t>
            </w:r>
          </w:p>
        </w:tc>
        <w:tc>
          <w:tcPr>
            <w:tcW w:w="3855" w:type="dxa"/>
            <w:noWrap w:val="0"/>
            <w:vAlign w:val="center"/>
          </w:tcPr>
          <w:p w14:paraId="527B36E2">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主要反映赛事启动后，各地市通过开展赛事发动、组织动员等，推动商标申请注册和转化运用的整体情况</w:t>
            </w:r>
          </w:p>
        </w:tc>
        <w:tc>
          <w:tcPr>
            <w:tcW w:w="7095" w:type="dxa"/>
            <w:noWrap w:val="0"/>
            <w:vAlign w:val="center"/>
          </w:tcPr>
          <w:p w14:paraId="3F209849">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本市商标申请注册、质押融资情况，赛事期间开展赛事发动、组织动员等情况</w:t>
            </w:r>
          </w:p>
        </w:tc>
        <w:tc>
          <w:tcPr>
            <w:tcW w:w="1730" w:type="dxa"/>
            <w:noWrap w:val="0"/>
            <w:vAlign w:val="center"/>
          </w:tcPr>
          <w:p w14:paraId="7C3499B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bCs w:val="0"/>
                <w:color w:val="000000"/>
                <w:sz w:val="18"/>
                <w:szCs w:val="18"/>
                <w:highlight w:val="none"/>
                <w:vertAlign w:val="baseline"/>
                <w:lang w:val="en-US" w:eastAsia="zh-CN"/>
              </w:rPr>
              <w:t>此项指标不需项目参赛单位提供材料</w:t>
            </w:r>
          </w:p>
        </w:tc>
      </w:tr>
      <w:tr w14:paraId="282F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0331D69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p>
        </w:tc>
        <w:tc>
          <w:tcPr>
            <w:tcW w:w="2125" w:type="dxa"/>
            <w:noWrap w:val="0"/>
            <w:vAlign w:val="center"/>
          </w:tcPr>
          <w:p w14:paraId="2BD9689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kern w:val="2"/>
                <w:sz w:val="18"/>
                <w:szCs w:val="18"/>
                <w:highlight w:val="none"/>
                <w:lang w:val="en-US" w:eastAsia="zh-CN" w:bidi="ar-SA"/>
              </w:rPr>
              <w:t>管理机制</w:t>
            </w:r>
          </w:p>
        </w:tc>
        <w:tc>
          <w:tcPr>
            <w:tcW w:w="795" w:type="dxa"/>
            <w:noWrap w:val="0"/>
            <w:vAlign w:val="center"/>
          </w:tcPr>
          <w:p w14:paraId="634E62C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color w:val="000000"/>
                <w:kern w:val="2"/>
                <w:sz w:val="18"/>
                <w:szCs w:val="18"/>
                <w:highlight w:val="none"/>
                <w:lang w:val="en-US" w:eastAsia="zh-CN" w:bidi="ar-SA"/>
              </w:rPr>
              <w:t>7</w:t>
            </w:r>
          </w:p>
        </w:tc>
        <w:tc>
          <w:tcPr>
            <w:tcW w:w="810" w:type="dxa"/>
            <w:noWrap w:val="0"/>
            <w:vAlign w:val="center"/>
          </w:tcPr>
          <w:p w14:paraId="067BD874">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5</w:t>
            </w:r>
          </w:p>
        </w:tc>
        <w:tc>
          <w:tcPr>
            <w:tcW w:w="1119" w:type="dxa"/>
            <w:noWrap w:val="0"/>
            <w:vAlign w:val="center"/>
          </w:tcPr>
          <w:p w14:paraId="75C83F7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专家评审</w:t>
            </w:r>
          </w:p>
        </w:tc>
        <w:tc>
          <w:tcPr>
            <w:tcW w:w="2385" w:type="dxa"/>
            <w:noWrap w:val="0"/>
            <w:vAlign w:val="center"/>
          </w:tcPr>
          <w:p w14:paraId="0A85C304">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r>
              <w:rPr>
                <w:rFonts w:hint="default" w:ascii="Times New Roman" w:hAnsi="Times New Roman" w:eastAsia="宋体" w:cs="Times New Roman"/>
                <w:color w:val="000000"/>
                <w:sz w:val="18"/>
                <w:szCs w:val="18"/>
                <w:highlight w:val="none"/>
                <w:lang w:eastAsia="zh-CN"/>
              </w:rPr>
              <w:t>（仅决赛时增加</w:t>
            </w:r>
            <w:r>
              <w:rPr>
                <w:rFonts w:hint="default" w:ascii="Times New Roman" w:hAnsi="Times New Roman" w:eastAsia="宋体" w:cs="Times New Roman"/>
                <w:color w:val="000000"/>
                <w:sz w:val="18"/>
                <w:szCs w:val="18"/>
                <w:highlight w:val="none"/>
              </w:rPr>
              <w:t>路演介绍</w:t>
            </w:r>
            <w:r>
              <w:rPr>
                <w:rFonts w:hint="default" w:ascii="Times New Roman" w:hAnsi="Times New Roman" w:eastAsia="宋体" w:cs="Times New Roman"/>
                <w:sz w:val="18"/>
                <w:szCs w:val="18"/>
                <w:highlight w:val="none"/>
                <w:lang w:val="en-US" w:eastAsia="zh-CN"/>
              </w:rPr>
              <w:t>，</w:t>
            </w:r>
            <w:r>
              <w:rPr>
                <w:rFonts w:hint="default" w:ascii="Times New Roman" w:hAnsi="Times New Roman" w:eastAsia="宋体" w:cs="Times New Roman"/>
                <w:color w:val="000000"/>
                <w:sz w:val="18"/>
                <w:szCs w:val="18"/>
                <w:highlight w:val="none"/>
                <w:lang w:eastAsia="zh-CN"/>
              </w:rPr>
              <w:t>下同</w:t>
            </w:r>
            <w:r>
              <w:rPr>
                <w:rFonts w:hint="default" w:ascii="Times New Roman" w:hAnsi="Times New Roman" w:eastAsia="宋体" w:cs="Times New Roman"/>
                <w:sz w:val="18"/>
                <w:szCs w:val="18"/>
                <w:highlight w:val="none"/>
                <w:lang w:val="en-US" w:eastAsia="zh-CN"/>
              </w:rPr>
              <w:t>）</w:t>
            </w:r>
          </w:p>
        </w:tc>
        <w:tc>
          <w:tcPr>
            <w:tcW w:w="3855" w:type="dxa"/>
            <w:noWrap w:val="0"/>
            <w:vAlign w:val="center"/>
          </w:tcPr>
          <w:p w14:paraId="37FB60EF">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主要反映参赛主体商标管理机构、制度、人员等方面配置情况</w:t>
            </w:r>
          </w:p>
        </w:tc>
        <w:tc>
          <w:tcPr>
            <w:tcW w:w="7095" w:type="dxa"/>
            <w:noWrap w:val="0"/>
            <w:vAlign w:val="center"/>
          </w:tcPr>
          <w:p w14:paraId="5F713109">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企业规模及业务范围设立专职商标管理部门情况，配备有专业管理人员情况；商标管理制度与企业规模、业务范围的契合度，制度建设和实施情况</w:t>
            </w:r>
          </w:p>
        </w:tc>
        <w:tc>
          <w:tcPr>
            <w:tcW w:w="1730" w:type="dxa"/>
            <w:noWrap w:val="0"/>
            <w:vAlign w:val="center"/>
          </w:tcPr>
          <w:p w14:paraId="59E756A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color w:val="000000"/>
                <w:sz w:val="18"/>
                <w:szCs w:val="18"/>
                <w:highlight w:val="none"/>
                <w:lang w:val="en-US" w:eastAsia="zh-CN"/>
              </w:rPr>
            </w:pPr>
          </w:p>
        </w:tc>
      </w:tr>
      <w:tr w14:paraId="72E2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restart"/>
            <w:noWrap w:val="0"/>
            <w:vAlign w:val="center"/>
          </w:tcPr>
          <w:p w14:paraId="3FFCE627">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商标注册和保护</w:t>
            </w:r>
          </w:p>
        </w:tc>
        <w:tc>
          <w:tcPr>
            <w:tcW w:w="2125" w:type="dxa"/>
            <w:noWrap w:val="0"/>
            <w:vAlign w:val="center"/>
          </w:tcPr>
          <w:p w14:paraId="57DD6EC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商标注册及使用</w:t>
            </w:r>
          </w:p>
        </w:tc>
        <w:tc>
          <w:tcPr>
            <w:tcW w:w="795" w:type="dxa"/>
            <w:noWrap w:val="0"/>
            <w:vAlign w:val="center"/>
          </w:tcPr>
          <w:p w14:paraId="0CE3CB3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810" w:type="dxa"/>
            <w:noWrap w:val="0"/>
            <w:vAlign w:val="center"/>
          </w:tcPr>
          <w:p w14:paraId="71CCDD1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3BB8D34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客观指标</w:t>
            </w:r>
          </w:p>
        </w:tc>
        <w:tc>
          <w:tcPr>
            <w:tcW w:w="2385" w:type="dxa"/>
            <w:noWrap w:val="0"/>
            <w:vAlign w:val="center"/>
          </w:tcPr>
          <w:p w14:paraId="63153D6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2D700775">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主要反映参赛主体商标国内注册及使用情况</w:t>
            </w:r>
          </w:p>
        </w:tc>
        <w:tc>
          <w:tcPr>
            <w:tcW w:w="7095" w:type="dxa"/>
            <w:noWrap w:val="0"/>
            <w:vAlign w:val="center"/>
          </w:tcPr>
          <w:p w14:paraId="5138FC7D">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商标国内注册时间，在法律保护期限内的有效状态及持续使用时间</w:t>
            </w:r>
          </w:p>
        </w:tc>
        <w:tc>
          <w:tcPr>
            <w:tcW w:w="1730" w:type="dxa"/>
            <w:noWrap w:val="0"/>
            <w:vAlign w:val="center"/>
          </w:tcPr>
          <w:p w14:paraId="5DCEC18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r>
      <w:tr w14:paraId="4622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35EE4EA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p>
        </w:tc>
        <w:tc>
          <w:tcPr>
            <w:tcW w:w="2125" w:type="dxa"/>
            <w:noWrap w:val="0"/>
            <w:vAlign w:val="center"/>
          </w:tcPr>
          <w:p w14:paraId="4CD561F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国际注册</w:t>
            </w:r>
          </w:p>
        </w:tc>
        <w:tc>
          <w:tcPr>
            <w:tcW w:w="795" w:type="dxa"/>
            <w:noWrap w:val="0"/>
            <w:vAlign w:val="center"/>
          </w:tcPr>
          <w:p w14:paraId="013F936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810" w:type="dxa"/>
            <w:noWrap w:val="0"/>
            <w:vAlign w:val="center"/>
          </w:tcPr>
          <w:p w14:paraId="04BE716C">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77E9098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客观指标</w:t>
            </w:r>
          </w:p>
        </w:tc>
        <w:tc>
          <w:tcPr>
            <w:tcW w:w="2385" w:type="dxa"/>
            <w:noWrap w:val="0"/>
            <w:vAlign w:val="center"/>
          </w:tcPr>
          <w:p w14:paraId="7AF3775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057479A5">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主要反映企业在出口、加工、中转等商业活动过程中，在相关国家或地区的商标注册情况</w:t>
            </w:r>
          </w:p>
        </w:tc>
        <w:tc>
          <w:tcPr>
            <w:tcW w:w="7095" w:type="dxa"/>
            <w:noWrap w:val="0"/>
            <w:vAlign w:val="center"/>
          </w:tcPr>
          <w:p w14:paraId="19791D46">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1.对出口国或出口地区：核心商标注册覆盖出口国或出口地区情况；</w:t>
            </w:r>
          </w:p>
          <w:p w14:paraId="3BBC6C42">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2.对加工国或加工地区：核心商标在加工合作国或加工地区注册情况，加工相关核心类别情况；</w:t>
            </w:r>
          </w:p>
          <w:p w14:paraId="21A1B997">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pacing w:val="-6"/>
                <w:sz w:val="18"/>
                <w:szCs w:val="18"/>
                <w:highlight w:val="none"/>
                <w:vertAlign w:val="baseline"/>
                <w:lang w:val="en-US" w:eastAsia="zh-CN"/>
              </w:rPr>
              <w:t>3.对中转国或中转地区：核心商标覆盖关键中转枢纽情况，注册类别与业务需求对应情况</w:t>
            </w:r>
          </w:p>
        </w:tc>
        <w:tc>
          <w:tcPr>
            <w:tcW w:w="1730" w:type="dxa"/>
            <w:noWrap w:val="0"/>
            <w:vAlign w:val="center"/>
          </w:tcPr>
          <w:p w14:paraId="06AAD43D">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r>
      <w:tr w14:paraId="082D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6AB0B2D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p>
        </w:tc>
        <w:tc>
          <w:tcPr>
            <w:tcW w:w="2125" w:type="dxa"/>
            <w:noWrap w:val="0"/>
            <w:vAlign w:val="center"/>
          </w:tcPr>
          <w:p w14:paraId="2BDFC26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商标保护</w:t>
            </w:r>
          </w:p>
        </w:tc>
        <w:tc>
          <w:tcPr>
            <w:tcW w:w="795" w:type="dxa"/>
            <w:noWrap w:val="0"/>
            <w:vAlign w:val="center"/>
          </w:tcPr>
          <w:p w14:paraId="7ABEC9A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w:t>
            </w:r>
          </w:p>
        </w:tc>
        <w:tc>
          <w:tcPr>
            <w:tcW w:w="810" w:type="dxa"/>
            <w:noWrap w:val="0"/>
            <w:vAlign w:val="center"/>
          </w:tcPr>
          <w:p w14:paraId="7996CDCC">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74EE777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专家评审</w:t>
            </w:r>
          </w:p>
        </w:tc>
        <w:tc>
          <w:tcPr>
            <w:tcW w:w="2385" w:type="dxa"/>
            <w:noWrap w:val="0"/>
            <w:vAlign w:val="center"/>
          </w:tcPr>
          <w:p w14:paraId="6673009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4CA64C4C">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主要反映商标行政和司法保护情况及权属纠纷情况</w:t>
            </w:r>
          </w:p>
        </w:tc>
        <w:tc>
          <w:tcPr>
            <w:tcW w:w="7095" w:type="dxa"/>
            <w:noWrap w:val="0"/>
            <w:vAlign w:val="center"/>
          </w:tcPr>
          <w:p w14:paraId="606C5C3C">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商标权属纠纷情况；行政或司法维权情况；企业日常监控、响应、维权意识和能力情况</w:t>
            </w:r>
          </w:p>
        </w:tc>
        <w:tc>
          <w:tcPr>
            <w:tcW w:w="1730" w:type="dxa"/>
            <w:noWrap w:val="0"/>
            <w:vAlign w:val="center"/>
          </w:tcPr>
          <w:p w14:paraId="15A7A26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r>
      <w:tr w14:paraId="1C29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restart"/>
            <w:noWrap w:val="0"/>
            <w:vAlign w:val="center"/>
          </w:tcPr>
          <w:p w14:paraId="276898D7">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商标品牌培育</w:t>
            </w:r>
          </w:p>
        </w:tc>
        <w:tc>
          <w:tcPr>
            <w:tcW w:w="2125" w:type="dxa"/>
            <w:noWrap w:val="0"/>
            <w:vAlign w:val="center"/>
          </w:tcPr>
          <w:p w14:paraId="7959EF65">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商标布局</w:t>
            </w:r>
          </w:p>
        </w:tc>
        <w:tc>
          <w:tcPr>
            <w:tcW w:w="795" w:type="dxa"/>
            <w:noWrap w:val="0"/>
            <w:vAlign w:val="center"/>
          </w:tcPr>
          <w:p w14:paraId="4170AC9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10</w:t>
            </w:r>
          </w:p>
        </w:tc>
        <w:tc>
          <w:tcPr>
            <w:tcW w:w="810" w:type="dxa"/>
            <w:noWrap w:val="0"/>
            <w:vAlign w:val="center"/>
          </w:tcPr>
          <w:p w14:paraId="4C58C8B7">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4B486C06">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2C253245">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4D18E19E">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主要反映核心商标在核心业务类别及防御性商标注册的完整性及商标布局的前瞻性</w:t>
            </w:r>
          </w:p>
        </w:tc>
        <w:tc>
          <w:tcPr>
            <w:tcW w:w="7095" w:type="dxa"/>
            <w:noWrap w:val="0"/>
            <w:vAlign w:val="center"/>
          </w:tcPr>
          <w:p w14:paraId="281F0980">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核心商标覆盖业务类别全面性，及防御性注册率情况</w:t>
            </w:r>
          </w:p>
        </w:tc>
        <w:tc>
          <w:tcPr>
            <w:tcW w:w="1730" w:type="dxa"/>
            <w:noWrap w:val="0"/>
            <w:vAlign w:val="center"/>
          </w:tcPr>
          <w:p w14:paraId="0C841C0A">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55D5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12A033E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628E20D7">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商标品牌战略</w:t>
            </w:r>
          </w:p>
        </w:tc>
        <w:tc>
          <w:tcPr>
            <w:tcW w:w="795" w:type="dxa"/>
            <w:noWrap w:val="0"/>
            <w:vAlign w:val="center"/>
          </w:tcPr>
          <w:p w14:paraId="4A7CE28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10</w:t>
            </w:r>
          </w:p>
        </w:tc>
        <w:tc>
          <w:tcPr>
            <w:tcW w:w="810" w:type="dxa"/>
            <w:noWrap w:val="0"/>
            <w:vAlign w:val="center"/>
          </w:tcPr>
          <w:p w14:paraId="49DEA6A2">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3D40030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专家评审</w:t>
            </w:r>
          </w:p>
        </w:tc>
        <w:tc>
          <w:tcPr>
            <w:tcW w:w="2385" w:type="dxa"/>
            <w:noWrap w:val="0"/>
            <w:vAlign w:val="center"/>
          </w:tcPr>
          <w:p w14:paraId="43B562D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0435336A">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主要反映商标品牌发展战略方案、目标的合理性、完整性，以及市场定位、产品推广、机制构建等情况</w:t>
            </w:r>
          </w:p>
        </w:tc>
        <w:tc>
          <w:tcPr>
            <w:tcW w:w="7095" w:type="dxa"/>
            <w:noWrap w:val="0"/>
            <w:vAlign w:val="center"/>
          </w:tcPr>
          <w:p w14:paraId="6EA704C8">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商标品牌发展目标情况；战略发展方案及覆盖度情况；商标品牌发展战略与企业实际的契合度；战略实施效果、投入资源及商标品牌意识情况</w:t>
            </w:r>
          </w:p>
        </w:tc>
        <w:tc>
          <w:tcPr>
            <w:tcW w:w="1730" w:type="dxa"/>
            <w:noWrap w:val="0"/>
            <w:vAlign w:val="center"/>
          </w:tcPr>
          <w:p w14:paraId="57CDC61B">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2C3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2E5A4D02">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63447C96">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商标品牌培育规范</w:t>
            </w:r>
            <w:r>
              <w:rPr>
                <w:rFonts w:hint="default" w:ascii="Times New Roman" w:hAnsi="Times New Roman" w:eastAsia="宋体" w:cs="Times New Roman"/>
                <w:sz w:val="18"/>
                <w:szCs w:val="18"/>
                <w:highlight w:val="none"/>
                <w:lang w:eastAsia="zh-CN"/>
              </w:rPr>
              <w:t>性</w:t>
            </w:r>
          </w:p>
        </w:tc>
        <w:tc>
          <w:tcPr>
            <w:tcW w:w="795" w:type="dxa"/>
            <w:noWrap w:val="0"/>
            <w:vAlign w:val="center"/>
          </w:tcPr>
          <w:p w14:paraId="5ADB59FC">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10</w:t>
            </w:r>
          </w:p>
        </w:tc>
        <w:tc>
          <w:tcPr>
            <w:tcW w:w="810" w:type="dxa"/>
            <w:noWrap w:val="0"/>
            <w:vAlign w:val="center"/>
          </w:tcPr>
          <w:p w14:paraId="64D07886">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1F0E23FC">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0A29CED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4ED11075">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主要反映商标全流程培育、全生命周期管理的规范性等</w:t>
            </w:r>
          </w:p>
        </w:tc>
        <w:tc>
          <w:tcPr>
            <w:tcW w:w="7095" w:type="dxa"/>
            <w:noWrap w:val="0"/>
            <w:vAlign w:val="center"/>
          </w:tcPr>
          <w:p w14:paraId="6F3FF668">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商标培育流程（需求分析、策划、评估、实施）的规范性情况；商标品牌全生命周期管理、培育工作的亮点与创新情况</w:t>
            </w:r>
          </w:p>
        </w:tc>
        <w:tc>
          <w:tcPr>
            <w:tcW w:w="1730" w:type="dxa"/>
            <w:noWrap w:val="0"/>
            <w:vAlign w:val="center"/>
          </w:tcPr>
          <w:p w14:paraId="06CA1A12">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57FC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restart"/>
            <w:noWrap w:val="0"/>
            <w:vAlign w:val="center"/>
          </w:tcPr>
          <w:p w14:paraId="42609F1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商标</w:t>
            </w:r>
            <w:r>
              <w:rPr>
                <w:rFonts w:hint="default" w:ascii="Times New Roman" w:hAnsi="Times New Roman" w:eastAsia="宋体" w:cs="Times New Roman"/>
                <w:sz w:val="18"/>
                <w:szCs w:val="18"/>
                <w:highlight w:val="none"/>
                <w:lang w:val="en-US" w:eastAsia="zh-CN"/>
              </w:rPr>
              <w:t>品牌</w:t>
            </w:r>
            <w:r>
              <w:rPr>
                <w:rFonts w:hint="default" w:ascii="Times New Roman" w:hAnsi="Times New Roman" w:eastAsia="宋体" w:cs="Times New Roman"/>
                <w:sz w:val="18"/>
                <w:szCs w:val="18"/>
                <w:highlight w:val="none"/>
                <w:lang w:eastAsia="zh-CN"/>
              </w:rPr>
              <w:t>质量</w:t>
            </w:r>
          </w:p>
        </w:tc>
        <w:tc>
          <w:tcPr>
            <w:tcW w:w="2125" w:type="dxa"/>
            <w:noWrap w:val="0"/>
            <w:vAlign w:val="center"/>
          </w:tcPr>
          <w:p w14:paraId="3F13627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商标质量</w:t>
            </w:r>
            <w:r>
              <w:rPr>
                <w:rFonts w:hint="default" w:ascii="Times New Roman" w:hAnsi="Times New Roman" w:eastAsia="宋体" w:cs="Times New Roman"/>
                <w:sz w:val="18"/>
                <w:szCs w:val="18"/>
                <w:highlight w:val="none"/>
                <w:lang w:eastAsia="zh-CN"/>
              </w:rPr>
              <w:t>标准</w:t>
            </w:r>
          </w:p>
        </w:tc>
        <w:tc>
          <w:tcPr>
            <w:tcW w:w="795" w:type="dxa"/>
            <w:noWrap w:val="0"/>
            <w:vAlign w:val="center"/>
          </w:tcPr>
          <w:p w14:paraId="1E11CE84">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w:t>
            </w:r>
          </w:p>
        </w:tc>
        <w:tc>
          <w:tcPr>
            <w:tcW w:w="810" w:type="dxa"/>
            <w:noWrap w:val="0"/>
            <w:vAlign w:val="center"/>
          </w:tcPr>
          <w:p w14:paraId="7570F204">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w:t>
            </w:r>
          </w:p>
        </w:tc>
        <w:tc>
          <w:tcPr>
            <w:tcW w:w="1119" w:type="dxa"/>
            <w:noWrap w:val="0"/>
            <w:vAlign w:val="center"/>
          </w:tcPr>
          <w:p w14:paraId="5100C71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专家评审</w:t>
            </w:r>
          </w:p>
        </w:tc>
        <w:tc>
          <w:tcPr>
            <w:tcW w:w="2385" w:type="dxa"/>
            <w:noWrap w:val="0"/>
            <w:vAlign w:val="center"/>
          </w:tcPr>
          <w:p w14:paraId="46AA7795">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4429BB2E">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主要反映商标品牌商品、服务执行标准、抽检抽查、售后服务等情况</w:t>
            </w:r>
          </w:p>
        </w:tc>
        <w:tc>
          <w:tcPr>
            <w:tcW w:w="7095" w:type="dxa"/>
            <w:noWrap w:val="0"/>
            <w:vAlign w:val="center"/>
          </w:tcPr>
          <w:p w14:paraId="2979BEA3">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企业质量管理体系认证情况；执行、使用或参与制订相关国家标准、地方标准或团体标准情况；商品或服务抽检表现情况；企业售后流程制度、售后管理制度等情况</w:t>
            </w:r>
          </w:p>
        </w:tc>
        <w:tc>
          <w:tcPr>
            <w:tcW w:w="1730" w:type="dxa"/>
            <w:noWrap w:val="0"/>
            <w:vAlign w:val="center"/>
          </w:tcPr>
          <w:p w14:paraId="5819669F">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165B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0853025D">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p>
        </w:tc>
        <w:tc>
          <w:tcPr>
            <w:tcW w:w="2125" w:type="dxa"/>
            <w:noWrap w:val="0"/>
            <w:vAlign w:val="center"/>
          </w:tcPr>
          <w:p w14:paraId="18C91194">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商标稳定性</w:t>
            </w:r>
          </w:p>
        </w:tc>
        <w:tc>
          <w:tcPr>
            <w:tcW w:w="795" w:type="dxa"/>
            <w:noWrap w:val="0"/>
            <w:vAlign w:val="center"/>
          </w:tcPr>
          <w:p w14:paraId="6025392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5</w:t>
            </w:r>
          </w:p>
        </w:tc>
        <w:tc>
          <w:tcPr>
            <w:tcW w:w="810" w:type="dxa"/>
            <w:noWrap w:val="0"/>
            <w:vAlign w:val="center"/>
          </w:tcPr>
          <w:p w14:paraId="12764A1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001A6507">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6D0239E9">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3383B545">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主要反映商标的稳定性情况</w:t>
            </w:r>
          </w:p>
        </w:tc>
        <w:tc>
          <w:tcPr>
            <w:tcW w:w="7095" w:type="dxa"/>
            <w:noWrap w:val="0"/>
            <w:vAlign w:val="center"/>
          </w:tcPr>
          <w:p w14:paraId="4D0F1C54">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1.注册群组：核心群组、关联群组、未来经营发展可能涉及的群组、易造成市场混淆的群组的注册情况</w:t>
            </w:r>
          </w:p>
          <w:p w14:paraId="007981B9">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2.联合商标：核心商标要素、中英文、拼音、特有产品名称、商号的注册情况</w:t>
            </w:r>
          </w:p>
        </w:tc>
        <w:tc>
          <w:tcPr>
            <w:tcW w:w="1730" w:type="dxa"/>
            <w:noWrap w:val="0"/>
            <w:vAlign w:val="center"/>
          </w:tcPr>
          <w:p w14:paraId="2242F54E">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7651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0BCF0FB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p>
        </w:tc>
        <w:tc>
          <w:tcPr>
            <w:tcW w:w="2125" w:type="dxa"/>
            <w:noWrap w:val="0"/>
            <w:vAlign w:val="center"/>
          </w:tcPr>
          <w:p w14:paraId="143046AD">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商标风险监控</w:t>
            </w:r>
          </w:p>
        </w:tc>
        <w:tc>
          <w:tcPr>
            <w:tcW w:w="795" w:type="dxa"/>
            <w:noWrap w:val="0"/>
            <w:vAlign w:val="center"/>
          </w:tcPr>
          <w:p w14:paraId="3135CA6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810" w:type="dxa"/>
            <w:noWrap w:val="0"/>
            <w:vAlign w:val="center"/>
          </w:tcPr>
          <w:p w14:paraId="2BE4D54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5</w:t>
            </w:r>
          </w:p>
        </w:tc>
        <w:tc>
          <w:tcPr>
            <w:tcW w:w="1119" w:type="dxa"/>
            <w:noWrap w:val="0"/>
            <w:vAlign w:val="center"/>
          </w:tcPr>
          <w:p w14:paraId="6DBF82F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53BF38C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3528B0AA">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主要反映参赛主体对商标在侵权预防、应急处理等方面的风险防控能力</w:t>
            </w:r>
          </w:p>
        </w:tc>
        <w:tc>
          <w:tcPr>
            <w:tcW w:w="7095" w:type="dxa"/>
            <w:noWrap w:val="0"/>
            <w:vAlign w:val="center"/>
          </w:tcPr>
          <w:p w14:paraId="626A435A">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参赛主体的商标品牌侵权预防、应急处理等风险监测体系情况，及技术监测手段</w:t>
            </w:r>
          </w:p>
        </w:tc>
        <w:tc>
          <w:tcPr>
            <w:tcW w:w="1730" w:type="dxa"/>
            <w:noWrap w:val="0"/>
            <w:vAlign w:val="center"/>
          </w:tcPr>
          <w:p w14:paraId="1F82594B">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4970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784474B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3A5FC495">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商标</w:t>
            </w:r>
            <w:r>
              <w:rPr>
                <w:rFonts w:hint="default" w:ascii="Times New Roman" w:hAnsi="Times New Roman" w:eastAsia="宋体" w:cs="Times New Roman"/>
                <w:sz w:val="18"/>
                <w:szCs w:val="18"/>
                <w:highlight w:val="none"/>
                <w:lang w:eastAsia="zh-CN"/>
              </w:rPr>
              <w:t>品牌</w:t>
            </w:r>
            <w:r>
              <w:rPr>
                <w:rFonts w:hint="default" w:ascii="Times New Roman" w:hAnsi="Times New Roman" w:eastAsia="宋体" w:cs="Times New Roman"/>
                <w:sz w:val="18"/>
                <w:szCs w:val="18"/>
                <w:highlight w:val="none"/>
              </w:rPr>
              <w:t>知名度</w:t>
            </w:r>
          </w:p>
        </w:tc>
        <w:tc>
          <w:tcPr>
            <w:tcW w:w="795" w:type="dxa"/>
            <w:noWrap w:val="0"/>
            <w:vAlign w:val="center"/>
          </w:tcPr>
          <w:p w14:paraId="5856189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5</w:t>
            </w:r>
          </w:p>
        </w:tc>
        <w:tc>
          <w:tcPr>
            <w:tcW w:w="810" w:type="dxa"/>
            <w:noWrap w:val="0"/>
            <w:vAlign w:val="center"/>
          </w:tcPr>
          <w:p w14:paraId="324042B2">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1B649F9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专家评审</w:t>
            </w:r>
          </w:p>
        </w:tc>
        <w:tc>
          <w:tcPr>
            <w:tcW w:w="2385" w:type="dxa"/>
            <w:noWrap w:val="0"/>
            <w:vAlign w:val="center"/>
          </w:tcPr>
          <w:p w14:paraId="4B25E1B7">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2CBAAAF3">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主要反映相关公众对商标品牌的知晓情况</w:t>
            </w:r>
          </w:p>
        </w:tc>
        <w:tc>
          <w:tcPr>
            <w:tcW w:w="7095" w:type="dxa"/>
            <w:noWrap w:val="0"/>
            <w:vAlign w:val="center"/>
          </w:tcPr>
          <w:p w14:paraId="03B9B4B6">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宣传投入、媒体报道等情况。参赛主体宣传材料、媒体报道证明资料情况</w:t>
            </w:r>
          </w:p>
        </w:tc>
        <w:tc>
          <w:tcPr>
            <w:tcW w:w="1730" w:type="dxa"/>
            <w:noWrap w:val="0"/>
            <w:vAlign w:val="center"/>
          </w:tcPr>
          <w:p w14:paraId="1A881243">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1944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5561F03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41D32CC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商标品牌美誉度</w:t>
            </w:r>
          </w:p>
        </w:tc>
        <w:tc>
          <w:tcPr>
            <w:tcW w:w="795" w:type="dxa"/>
            <w:noWrap w:val="0"/>
            <w:vAlign w:val="center"/>
          </w:tcPr>
          <w:p w14:paraId="478628F7">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810" w:type="dxa"/>
            <w:noWrap w:val="0"/>
            <w:vAlign w:val="center"/>
          </w:tcPr>
          <w:p w14:paraId="59E06F16">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6C3DD404">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专家评审</w:t>
            </w:r>
          </w:p>
        </w:tc>
        <w:tc>
          <w:tcPr>
            <w:tcW w:w="2385" w:type="dxa"/>
            <w:noWrap w:val="0"/>
            <w:vAlign w:val="center"/>
          </w:tcPr>
          <w:p w14:paraId="56B04B5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2C9D6B2F">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主要反映相关公众对商标品牌的认可情况</w:t>
            </w:r>
          </w:p>
        </w:tc>
        <w:tc>
          <w:tcPr>
            <w:tcW w:w="7095" w:type="dxa"/>
            <w:noWrap w:val="0"/>
            <w:vAlign w:val="center"/>
          </w:tcPr>
          <w:p w14:paraId="3AB416B5">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公众对商标品牌认可程度，在商标品牌产品质量或服务方面获奖情况等。参赛主体可提供相关研究机构已公开发布的对此项内容的研究报告、相关获奖证据等证明资料</w:t>
            </w:r>
          </w:p>
        </w:tc>
        <w:tc>
          <w:tcPr>
            <w:tcW w:w="1730" w:type="dxa"/>
            <w:noWrap w:val="0"/>
            <w:vAlign w:val="center"/>
          </w:tcPr>
          <w:p w14:paraId="3D5E45A2">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0218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restart"/>
            <w:noWrap w:val="0"/>
            <w:vAlign w:val="center"/>
          </w:tcPr>
          <w:p w14:paraId="6EC401C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eastAsia="zh-CN"/>
              </w:rPr>
              <w:t>商标品牌效益</w:t>
            </w:r>
          </w:p>
        </w:tc>
        <w:tc>
          <w:tcPr>
            <w:tcW w:w="2125" w:type="dxa"/>
            <w:noWrap w:val="0"/>
            <w:vAlign w:val="center"/>
          </w:tcPr>
          <w:p w14:paraId="47991E7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商标</w:t>
            </w:r>
            <w:r>
              <w:rPr>
                <w:rFonts w:hint="default" w:ascii="Times New Roman" w:hAnsi="Times New Roman" w:eastAsia="宋体" w:cs="Times New Roman"/>
                <w:sz w:val="18"/>
                <w:szCs w:val="18"/>
                <w:highlight w:val="none"/>
                <w:lang w:eastAsia="zh-CN"/>
              </w:rPr>
              <w:t>品牌</w:t>
            </w:r>
            <w:r>
              <w:rPr>
                <w:rFonts w:hint="default" w:ascii="Times New Roman" w:hAnsi="Times New Roman" w:eastAsia="宋体" w:cs="Times New Roman"/>
                <w:sz w:val="18"/>
                <w:szCs w:val="18"/>
                <w:highlight w:val="none"/>
              </w:rPr>
              <w:t>投入</w:t>
            </w:r>
          </w:p>
        </w:tc>
        <w:tc>
          <w:tcPr>
            <w:tcW w:w="795" w:type="dxa"/>
            <w:noWrap w:val="0"/>
            <w:vAlign w:val="center"/>
          </w:tcPr>
          <w:p w14:paraId="0C5C292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10</w:t>
            </w:r>
          </w:p>
        </w:tc>
        <w:tc>
          <w:tcPr>
            <w:tcW w:w="810" w:type="dxa"/>
            <w:noWrap w:val="0"/>
            <w:vAlign w:val="center"/>
          </w:tcPr>
          <w:p w14:paraId="376CC67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w:t>
            </w:r>
          </w:p>
        </w:tc>
        <w:tc>
          <w:tcPr>
            <w:tcW w:w="1119" w:type="dxa"/>
            <w:noWrap w:val="0"/>
            <w:vAlign w:val="center"/>
          </w:tcPr>
          <w:p w14:paraId="408309B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1BD0BA32">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3F51C6FE">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主要反映近三年以来（2022年以来，企业成立不满足3年的，为成立以来，下同）参赛主体对商标品牌的投入情况</w:t>
            </w:r>
          </w:p>
        </w:tc>
        <w:tc>
          <w:tcPr>
            <w:tcW w:w="7095" w:type="dxa"/>
            <w:noWrap w:val="0"/>
            <w:vAlign w:val="center"/>
          </w:tcPr>
          <w:p w14:paraId="74516CC5">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2022年以来（企业成立不满3年的，为成立以来，下同），参赛主体对商标品牌的直接投入情况，需提交有效的合同、发票、付款凭证等证明资料（涉及商业秘密的，需脱敏处理并标注仅供本赛事使用，且须完整体现投入总金额等数据并作说明）；企业年均投入与行业均值的对比及，渠道覆盖情况</w:t>
            </w:r>
          </w:p>
        </w:tc>
        <w:tc>
          <w:tcPr>
            <w:tcW w:w="1730" w:type="dxa"/>
            <w:noWrap w:val="0"/>
            <w:vAlign w:val="center"/>
          </w:tcPr>
          <w:p w14:paraId="40E31C43">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3D80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4887950F">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1BDFC9C4">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eastAsia="zh-CN"/>
              </w:rPr>
              <w:t>经济效益</w:t>
            </w:r>
          </w:p>
        </w:tc>
        <w:tc>
          <w:tcPr>
            <w:tcW w:w="795" w:type="dxa"/>
            <w:noWrap w:val="0"/>
            <w:vAlign w:val="center"/>
          </w:tcPr>
          <w:p w14:paraId="02A93B1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10</w:t>
            </w:r>
          </w:p>
        </w:tc>
        <w:tc>
          <w:tcPr>
            <w:tcW w:w="810" w:type="dxa"/>
            <w:noWrap w:val="0"/>
            <w:vAlign w:val="center"/>
          </w:tcPr>
          <w:p w14:paraId="15519F8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w:t>
            </w:r>
          </w:p>
        </w:tc>
        <w:tc>
          <w:tcPr>
            <w:tcW w:w="1119" w:type="dxa"/>
            <w:noWrap w:val="0"/>
            <w:vAlign w:val="center"/>
          </w:tcPr>
          <w:p w14:paraId="733E440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43EA332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1843CD4B">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主要反映近三年以来企业的经济收益情况</w:t>
            </w:r>
          </w:p>
        </w:tc>
        <w:tc>
          <w:tcPr>
            <w:tcW w:w="7095" w:type="dxa"/>
            <w:noWrap w:val="0"/>
            <w:vAlign w:val="center"/>
          </w:tcPr>
          <w:p w14:paraId="201C090A">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pacing w:val="-6"/>
                <w:sz w:val="18"/>
                <w:szCs w:val="18"/>
                <w:highlight w:val="none"/>
                <w:vertAlign w:val="baseline"/>
                <w:lang w:val="en-US" w:eastAsia="zh-CN"/>
              </w:rPr>
              <w:t>企业近三年来销售总额、增长率及商标品牌对经济收益的影响情况（如涉及企业商业秘密的，请脱敏处理并标注仅供本赛事使用，但须完整体现本指标的相关数据并作相应说明）</w:t>
            </w:r>
          </w:p>
        </w:tc>
        <w:tc>
          <w:tcPr>
            <w:tcW w:w="1730" w:type="dxa"/>
            <w:noWrap w:val="0"/>
            <w:vAlign w:val="center"/>
          </w:tcPr>
          <w:p w14:paraId="4C790BB2">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7710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1679F55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7878EEC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社会效益</w:t>
            </w:r>
          </w:p>
        </w:tc>
        <w:tc>
          <w:tcPr>
            <w:tcW w:w="795" w:type="dxa"/>
            <w:noWrap w:val="0"/>
            <w:vAlign w:val="center"/>
          </w:tcPr>
          <w:p w14:paraId="05AA25B6">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810" w:type="dxa"/>
            <w:noWrap w:val="0"/>
            <w:vAlign w:val="center"/>
          </w:tcPr>
          <w:p w14:paraId="1B82F50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10</w:t>
            </w:r>
          </w:p>
        </w:tc>
        <w:tc>
          <w:tcPr>
            <w:tcW w:w="1119" w:type="dxa"/>
            <w:noWrap w:val="0"/>
            <w:vAlign w:val="center"/>
          </w:tcPr>
          <w:p w14:paraId="7812823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65F28E18">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6469526C">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主要反映近三年以来带动就业人数、产业协同发展案例及乡村振兴贡献，评估社会价值</w:t>
            </w:r>
          </w:p>
        </w:tc>
        <w:tc>
          <w:tcPr>
            <w:tcW w:w="7095" w:type="dxa"/>
            <w:noWrap w:val="0"/>
            <w:vAlign w:val="center"/>
          </w:tcPr>
          <w:p w14:paraId="10D9D81F">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近三年以来新增就业岗位情况，产业协同发展成效，助力乡村振兴发展成效等</w:t>
            </w:r>
          </w:p>
        </w:tc>
        <w:tc>
          <w:tcPr>
            <w:tcW w:w="1730" w:type="dxa"/>
            <w:noWrap w:val="0"/>
            <w:vAlign w:val="center"/>
          </w:tcPr>
          <w:p w14:paraId="0B20087C">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79F7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406B9A6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096F7FB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可持续发展</w:t>
            </w:r>
          </w:p>
        </w:tc>
        <w:tc>
          <w:tcPr>
            <w:tcW w:w="795" w:type="dxa"/>
            <w:noWrap w:val="0"/>
            <w:vAlign w:val="center"/>
          </w:tcPr>
          <w:p w14:paraId="3A40CFB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810" w:type="dxa"/>
            <w:noWrap w:val="0"/>
            <w:vAlign w:val="center"/>
          </w:tcPr>
          <w:p w14:paraId="73F1B2A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119" w:type="dxa"/>
            <w:noWrap w:val="0"/>
            <w:vAlign w:val="center"/>
          </w:tcPr>
          <w:p w14:paraId="2EC7BF3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3FFE5D7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08B3760C">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主要反映企业商标品牌可持续发展能力</w:t>
            </w:r>
          </w:p>
        </w:tc>
        <w:tc>
          <w:tcPr>
            <w:tcW w:w="7095" w:type="dxa"/>
            <w:noWrap w:val="0"/>
            <w:vAlign w:val="center"/>
          </w:tcPr>
          <w:p w14:paraId="5C00287C">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企业商标品牌发展方案是否合理，预计的市场发展情况，能否持续性发展</w:t>
            </w:r>
          </w:p>
        </w:tc>
        <w:tc>
          <w:tcPr>
            <w:tcW w:w="1730" w:type="dxa"/>
            <w:noWrap w:val="0"/>
            <w:vAlign w:val="center"/>
          </w:tcPr>
          <w:p w14:paraId="247C9875">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2161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restart"/>
            <w:noWrap w:val="0"/>
            <w:vAlign w:val="center"/>
          </w:tcPr>
          <w:p w14:paraId="60F84D52">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eastAsia="zh-CN"/>
              </w:rPr>
              <w:t>附加分</w:t>
            </w:r>
          </w:p>
        </w:tc>
        <w:tc>
          <w:tcPr>
            <w:tcW w:w="2125" w:type="dxa"/>
            <w:noWrap w:val="0"/>
            <w:vAlign w:val="center"/>
          </w:tcPr>
          <w:p w14:paraId="621C56E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政策环境</w:t>
            </w:r>
          </w:p>
        </w:tc>
        <w:tc>
          <w:tcPr>
            <w:tcW w:w="795" w:type="dxa"/>
            <w:noWrap w:val="0"/>
            <w:vAlign w:val="center"/>
          </w:tcPr>
          <w:p w14:paraId="5C959045">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2</w:t>
            </w:r>
          </w:p>
        </w:tc>
        <w:tc>
          <w:tcPr>
            <w:tcW w:w="810" w:type="dxa"/>
            <w:noWrap w:val="0"/>
            <w:vAlign w:val="center"/>
          </w:tcPr>
          <w:p w14:paraId="210DC3D2">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1119" w:type="dxa"/>
            <w:noWrap w:val="0"/>
            <w:vAlign w:val="center"/>
          </w:tcPr>
          <w:p w14:paraId="14B069D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专家评审、</w:t>
            </w:r>
          </w:p>
          <w:p w14:paraId="61CCD53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客观数据</w:t>
            </w:r>
          </w:p>
        </w:tc>
        <w:tc>
          <w:tcPr>
            <w:tcW w:w="2385" w:type="dxa"/>
            <w:noWrap w:val="0"/>
            <w:vAlign w:val="center"/>
          </w:tcPr>
          <w:p w14:paraId="66C1DD42">
            <w:pPr>
              <w:keepNext w:val="0"/>
              <w:keepLines w:val="0"/>
              <w:pageBreakBefore w:val="0"/>
              <w:widowControl/>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48F81586">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主要反映项目所在地市或项目拟落地转化地市在商标转化运用方面的政策法规等宏观环境建设情况</w:t>
            </w:r>
          </w:p>
        </w:tc>
        <w:tc>
          <w:tcPr>
            <w:tcW w:w="7095" w:type="dxa"/>
            <w:noWrap w:val="0"/>
            <w:vAlign w:val="center"/>
          </w:tcPr>
          <w:p w14:paraId="4A295441">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地市的商标转化运用政策整体情况，年度全市商标注册申请、商标质押融资情况等</w:t>
            </w:r>
          </w:p>
        </w:tc>
        <w:tc>
          <w:tcPr>
            <w:tcW w:w="1730" w:type="dxa"/>
            <w:noWrap w:val="0"/>
            <w:vAlign w:val="center"/>
          </w:tcPr>
          <w:p w14:paraId="7D8241DC">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bCs w:val="0"/>
                <w:color w:val="000000"/>
                <w:sz w:val="18"/>
                <w:szCs w:val="18"/>
                <w:highlight w:val="none"/>
                <w:vertAlign w:val="baseline"/>
                <w:lang w:val="en-US" w:eastAsia="zh-CN"/>
              </w:rPr>
              <w:t>此项指标不需项目参赛单位提供材料</w:t>
            </w:r>
          </w:p>
        </w:tc>
      </w:tr>
      <w:tr w14:paraId="2698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6459423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70181412">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t>商标品牌培育工作的亮点与创新</w:t>
            </w:r>
          </w:p>
        </w:tc>
        <w:tc>
          <w:tcPr>
            <w:tcW w:w="795" w:type="dxa"/>
            <w:noWrap w:val="0"/>
            <w:vAlign w:val="center"/>
          </w:tcPr>
          <w:p w14:paraId="14543965">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3</w:t>
            </w:r>
          </w:p>
        </w:tc>
        <w:tc>
          <w:tcPr>
            <w:tcW w:w="810" w:type="dxa"/>
            <w:noWrap w:val="0"/>
            <w:vAlign w:val="center"/>
          </w:tcPr>
          <w:p w14:paraId="555F6CD3">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1119" w:type="dxa"/>
            <w:noWrap w:val="0"/>
            <w:vAlign w:val="center"/>
          </w:tcPr>
          <w:p w14:paraId="155751A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5B8DF30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44700A39">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主要反映项目参赛主体在商标品牌工作方面的创新举措和成效</w:t>
            </w:r>
          </w:p>
        </w:tc>
        <w:tc>
          <w:tcPr>
            <w:tcW w:w="7095" w:type="dxa"/>
            <w:noWrap w:val="0"/>
            <w:vAlign w:val="center"/>
          </w:tcPr>
          <w:p w14:paraId="5A84EAB2">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参赛主体在商标品牌培育、商标品牌设计和创作、商标品牌培育和经营、商标品牌投入和产出、商品品牌战略制定与实施、商标品牌推广和宣传等方面的创新性工作情况</w:t>
            </w:r>
          </w:p>
        </w:tc>
        <w:tc>
          <w:tcPr>
            <w:tcW w:w="1730" w:type="dxa"/>
            <w:noWrap w:val="0"/>
            <w:vAlign w:val="center"/>
          </w:tcPr>
          <w:p w14:paraId="21821215">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48A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2DA34B48">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02C304A6">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商标品牌附加值</w:t>
            </w:r>
          </w:p>
        </w:tc>
        <w:tc>
          <w:tcPr>
            <w:tcW w:w="795" w:type="dxa"/>
            <w:noWrap w:val="0"/>
            <w:vAlign w:val="center"/>
          </w:tcPr>
          <w:p w14:paraId="5F79F2D1">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810" w:type="dxa"/>
            <w:noWrap w:val="0"/>
            <w:vAlign w:val="center"/>
          </w:tcPr>
          <w:p w14:paraId="73AB463D">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2</w:t>
            </w:r>
          </w:p>
        </w:tc>
        <w:tc>
          <w:tcPr>
            <w:tcW w:w="1119" w:type="dxa"/>
            <w:noWrap w:val="0"/>
            <w:vAlign w:val="center"/>
          </w:tcPr>
          <w:p w14:paraId="5597454A">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专家评审</w:t>
            </w:r>
          </w:p>
        </w:tc>
        <w:tc>
          <w:tcPr>
            <w:tcW w:w="2385" w:type="dxa"/>
            <w:noWrap w:val="0"/>
            <w:vAlign w:val="center"/>
          </w:tcPr>
          <w:p w14:paraId="18496C69">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项目提交材料、</w:t>
            </w:r>
            <w:r>
              <w:rPr>
                <w:rFonts w:hint="default" w:ascii="Times New Roman" w:hAnsi="Times New Roman" w:eastAsia="宋体" w:cs="Times New Roman"/>
                <w:color w:val="000000"/>
                <w:sz w:val="18"/>
                <w:szCs w:val="18"/>
                <w:highlight w:val="none"/>
              </w:rPr>
              <w:t>路演介绍</w:t>
            </w:r>
          </w:p>
        </w:tc>
        <w:tc>
          <w:tcPr>
            <w:tcW w:w="3855" w:type="dxa"/>
            <w:noWrap w:val="0"/>
            <w:vAlign w:val="center"/>
          </w:tcPr>
          <w:p w14:paraId="42379BEC">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主要反映商标及与商标有关的专利、版权等情况</w:t>
            </w:r>
          </w:p>
        </w:tc>
        <w:tc>
          <w:tcPr>
            <w:tcW w:w="7095" w:type="dxa"/>
            <w:noWrap w:val="0"/>
            <w:vAlign w:val="center"/>
          </w:tcPr>
          <w:p w14:paraId="569E6E78">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商标品牌商品或服务的专利、版权以及获奖情况、品牌相关商品和服务有其他经司法判决确认的知识产权权利。重点考虑商标品牌商品或服务的专利布局、专利挖掘和专利保护情况</w:t>
            </w:r>
          </w:p>
        </w:tc>
        <w:tc>
          <w:tcPr>
            <w:tcW w:w="1730" w:type="dxa"/>
            <w:noWrap w:val="0"/>
            <w:vAlign w:val="center"/>
          </w:tcPr>
          <w:p w14:paraId="0D99D06F">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2565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06" w:type="dxa"/>
            <w:vMerge w:val="continue"/>
            <w:noWrap w:val="0"/>
            <w:vAlign w:val="center"/>
          </w:tcPr>
          <w:p w14:paraId="5D2EB022">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p>
        </w:tc>
        <w:tc>
          <w:tcPr>
            <w:tcW w:w="2125" w:type="dxa"/>
            <w:noWrap w:val="0"/>
            <w:vAlign w:val="center"/>
          </w:tcPr>
          <w:p w14:paraId="15EEEDB7">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网络投票</w:t>
            </w:r>
          </w:p>
        </w:tc>
        <w:tc>
          <w:tcPr>
            <w:tcW w:w="795" w:type="dxa"/>
            <w:noWrap w:val="0"/>
            <w:vAlign w:val="center"/>
          </w:tcPr>
          <w:p w14:paraId="652EFD46">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810" w:type="dxa"/>
            <w:noWrap w:val="0"/>
            <w:vAlign w:val="center"/>
          </w:tcPr>
          <w:p w14:paraId="737CF62D">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5</w:t>
            </w:r>
          </w:p>
        </w:tc>
        <w:tc>
          <w:tcPr>
            <w:tcW w:w="1119" w:type="dxa"/>
            <w:noWrap w:val="0"/>
            <w:vAlign w:val="center"/>
          </w:tcPr>
          <w:p w14:paraId="6FA51F2D">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客观指标</w:t>
            </w:r>
          </w:p>
        </w:tc>
        <w:tc>
          <w:tcPr>
            <w:tcW w:w="2385" w:type="dxa"/>
            <w:noWrap w:val="0"/>
            <w:vAlign w:val="center"/>
          </w:tcPr>
          <w:p w14:paraId="13F5952E">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网站信息</w:t>
            </w:r>
          </w:p>
        </w:tc>
        <w:tc>
          <w:tcPr>
            <w:tcW w:w="3855" w:type="dxa"/>
            <w:noWrap w:val="0"/>
            <w:vAlign w:val="center"/>
          </w:tcPr>
          <w:p w14:paraId="207BA521">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初赛完成后根据赛程安排将组织网络投票，根据投票情况进行分数核算</w:t>
            </w:r>
          </w:p>
        </w:tc>
        <w:tc>
          <w:tcPr>
            <w:tcW w:w="7095" w:type="dxa"/>
            <w:noWrap w:val="0"/>
            <w:vAlign w:val="center"/>
          </w:tcPr>
          <w:p w14:paraId="28C4EC21">
            <w:pPr>
              <w:keepNext w:val="0"/>
              <w:keepLines w:val="0"/>
              <w:pageBreakBefore w:val="0"/>
              <w:kinsoku/>
              <w:wordWrap/>
              <w:overflowPunct/>
              <w:topLinePunct w:val="0"/>
              <w:autoSpaceDE/>
              <w:autoSpaceDN/>
              <w:bidi w:val="0"/>
              <w:adjustRightInd w:val="0"/>
              <w:snapToGrid w:val="0"/>
              <w:spacing w:line="230" w:lineRule="exact"/>
              <w:ind w:left="0" w:leftChars="0" w:right="0" w:rightChars="0" w:firstLine="0" w:firstLineChars="0"/>
              <w:jc w:val="both"/>
              <w:textAlignment w:val="auto"/>
              <w:rPr>
                <w:rFonts w:hint="default" w:ascii="Times New Roman" w:hAnsi="Times New Roman" w:eastAsia="宋体" w:cs="Times New Roman"/>
                <w:bCs w:val="0"/>
                <w:color w:val="000000"/>
                <w:sz w:val="18"/>
                <w:szCs w:val="18"/>
                <w:highlight w:val="none"/>
                <w:vertAlign w:val="baseline"/>
                <w:lang w:val="en-US" w:eastAsia="zh-CN"/>
              </w:rPr>
            </w:pPr>
            <w:r>
              <w:rPr>
                <w:rFonts w:hint="default" w:ascii="Times New Roman" w:hAnsi="Times New Roman" w:eastAsia="宋体" w:cs="Times New Roman"/>
                <w:bCs w:val="0"/>
                <w:color w:val="000000"/>
                <w:sz w:val="18"/>
                <w:szCs w:val="18"/>
                <w:highlight w:val="none"/>
                <w:vertAlign w:val="baseline"/>
                <w:lang w:val="en-US" w:eastAsia="zh-CN"/>
              </w:rPr>
              <w:t>0—500票（网络投票得分为总得票数除以100，得分保留小数点后两位）</w:t>
            </w:r>
          </w:p>
        </w:tc>
        <w:tc>
          <w:tcPr>
            <w:tcW w:w="1730" w:type="dxa"/>
            <w:noWrap w:val="0"/>
            <w:vAlign w:val="center"/>
          </w:tcPr>
          <w:p w14:paraId="65D3F088">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r w14:paraId="5767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1" w:type="dxa"/>
            <w:gridSpan w:val="2"/>
            <w:noWrap w:val="0"/>
            <w:vAlign w:val="center"/>
          </w:tcPr>
          <w:p w14:paraId="74CD2540">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合计</w:t>
            </w:r>
          </w:p>
        </w:tc>
        <w:tc>
          <w:tcPr>
            <w:tcW w:w="795" w:type="dxa"/>
            <w:noWrap w:val="0"/>
            <w:vAlign w:val="center"/>
          </w:tcPr>
          <w:p w14:paraId="08087A55">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105</w:t>
            </w:r>
          </w:p>
        </w:tc>
        <w:tc>
          <w:tcPr>
            <w:tcW w:w="810" w:type="dxa"/>
            <w:noWrap w:val="0"/>
            <w:vAlign w:val="center"/>
          </w:tcPr>
          <w:p w14:paraId="57671D6B">
            <w:pPr>
              <w:keepNext w:val="0"/>
              <w:keepLines w:val="0"/>
              <w:pageBreakBefore w:val="0"/>
              <w:kinsoku/>
              <w:wordWrap/>
              <w:overflowPunct/>
              <w:topLinePunct w:val="0"/>
              <w:autoSpaceDE/>
              <w:autoSpaceDN/>
              <w:bidi w:val="0"/>
              <w:adjustRightInd w:val="0"/>
              <w:snapToGrid w:val="0"/>
              <w:spacing w:line="23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110</w:t>
            </w:r>
          </w:p>
        </w:tc>
        <w:tc>
          <w:tcPr>
            <w:tcW w:w="16184" w:type="dxa"/>
            <w:gridSpan w:val="5"/>
            <w:noWrap w:val="0"/>
            <w:vAlign w:val="center"/>
          </w:tcPr>
          <w:p w14:paraId="05B55E08">
            <w:pPr>
              <w:keepNext w:val="0"/>
              <w:keepLines w:val="0"/>
              <w:pageBreakBefore w:val="0"/>
              <w:kinsoku/>
              <w:wordWrap/>
              <w:overflowPunct/>
              <w:topLinePunct w:val="0"/>
              <w:autoSpaceDE/>
              <w:autoSpaceDN/>
              <w:bidi w:val="0"/>
              <w:adjustRightInd w:val="0"/>
              <w:snapToGrid w:val="0"/>
              <w:spacing w:line="230" w:lineRule="exact"/>
              <w:jc w:val="left"/>
              <w:textAlignment w:val="auto"/>
              <w:rPr>
                <w:rFonts w:hint="default" w:ascii="Times New Roman" w:hAnsi="Times New Roman" w:eastAsia="宋体" w:cs="Times New Roman"/>
                <w:sz w:val="18"/>
                <w:szCs w:val="18"/>
                <w:highlight w:val="none"/>
              </w:rPr>
            </w:pPr>
          </w:p>
        </w:tc>
      </w:tr>
    </w:tbl>
    <w:p w14:paraId="411B118B">
      <w:pPr>
        <w:spacing w:line="560" w:lineRule="exact"/>
        <w:rPr>
          <w:rFonts w:hint="eastAsia" w:eastAsia="黑体"/>
          <w:sz w:val="32"/>
          <w:szCs w:val="32"/>
          <w:highlight w:val="none"/>
          <w:lang w:val="en-US" w:eastAsia="zh-CN"/>
        </w:rPr>
      </w:pPr>
      <w:r>
        <w:rPr>
          <w:rFonts w:eastAsia="黑体"/>
          <w:sz w:val="32"/>
          <w:szCs w:val="32"/>
          <w:highlight w:val="none"/>
        </w:rPr>
        <w:t>附件</w:t>
      </w:r>
      <w:r>
        <w:rPr>
          <w:rFonts w:hint="eastAsia" w:eastAsia="黑体"/>
          <w:sz w:val="32"/>
          <w:szCs w:val="32"/>
          <w:highlight w:val="none"/>
          <w:lang w:val="en-US" w:eastAsia="zh-CN"/>
        </w:rPr>
        <w:t>6</w:t>
      </w:r>
    </w:p>
    <w:p w14:paraId="7A3522D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黑体" w:hAnsi="黑体" w:eastAsia="黑体" w:cs="黑体"/>
          <w:sz w:val="18"/>
          <w:szCs w:val="18"/>
          <w:highlight w:val="none"/>
          <w:lang w:val="en-US" w:eastAsia="zh-CN"/>
        </w:rPr>
      </w:pPr>
      <w:r>
        <w:rPr>
          <w:rFonts w:hint="eastAsia" w:ascii="方正小标宋简体" w:hAnsi="方正小标宋简体" w:eastAsia="方正小标宋简体" w:cs="方正小标宋简体"/>
          <w:sz w:val="44"/>
          <w:szCs w:val="44"/>
          <w:highlight w:val="none"/>
        </w:rPr>
        <w:t>第</w:t>
      </w:r>
      <w:r>
        <w:rPr>
          <w:rFonts w:hint="eastAsia" w:ascii="方正小标宋简体" w:hAnsi="方正小标宋简体" w:eastAsia="方正小标宋简体" w:cs="方正小标宋简体"/>
          <w:sz w:val="44"/>
          <w:szCs w:val="44"/>
          <w:highlight w:val="none"/>
          <w:lang w:val="en-US" w:eastAsia="zh-CN"/>
        </w:rPr>
        <w:t>四</w:t>
      </w:r>
      <w:r>
        <w:rPr>
          <w:rFonts w:hint="eastAsia" w:ascii="方正小标宋简体" w:hAnsi="方正小标宋简体" w:eastAsia="方正小标宋简体" w:cs="方正小标宋简体"/>
          <w:sz w:val="44"/>
          <w:szCs w:val="44"/>
          <w:highlight w:val="none"/>
        </w:rPr>
        <w:t>届粤创赛评分指标体系（地理标志组）</w:t>
      </w:r>
    </w:p>
    <w:tbl>
      <w:tblPr>
        <w:tblStyle w:val="6"/>
        <w:tblpPr w:leftFromText="180" w:rightFromText="180" w:vertAnchor="text" w:horzAnchor="page" w:tblpX="1101" w:tblpY="353"/>
        <w:tblOverlap w:val="never"/>
        <w:tblW w:w="21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774"/>
        <w:gridCol w:w="990"/>
        <w:gridCol w:w="1020"/>
        <w:gridCol w:w="1515"/>
        <w:gridCol w:w="2325"/>
        <w:gridCol w:w="4500"/>
        <w:gridCol w:w="7410"/>
        <w:gridCol w:w="1035"/>
      </w:tblGrid>
      <w:tr w14:paraId="2AB0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14:paraId="124AE769">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一级指标</w:t>
            </w:r>
          </w:p>
        </w:tc>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36E19051">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二级指标</w:t>
            </w: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14:paraId="32DE1A08">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分值</w:t>
            </w: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14:paraId="62C76381">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评分方法</w:t>
            </w:r>
          </w:p>
        </w:tc>
        <w:tc>
          <w:tcPr>
            <w:tcW w:w="2325" w:type="dxa"/>
            <w:vMerge w:val="restart"/>
            <w:tcBorders>
              <w:top w:val="single" w:color="auto" w:sz="4" w:space="0"/>
              <w:left w:val="single" w:color="auto" w:sz="4" w:space="0"/>
              <w:bottom w:val="single" w:color="auto" w:sz="4" w:space="0"/>
              <w:right w:val="single" w:color="auto" w:sz="4" w:space="0"/>
            </w:tcBorders>
            <w:noWrap w:val="0"/>
            <w:vAlign w:val="center"/>
          </w:tcPr>
          <w:p w14:paraId="65C3AEF5">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数据来源</w:t>
            </w:r>
          </w:p>
        </w:tc>
        <w:tc>
          <w:tcPr>
            <w:tcW w:w="4500" w:type="dxa"/>
            <w:vMerge w:val="restart"/>
            <w:tcBorders>
              <w:top w:val="single" w:color="auto" w:sz="4" w:space="0"/>
              <w:left w:val="single" w:color="auto" w:sz="4" w:space="0"/>
              <w:bottom w:val="single" w:color="auto" w:sz="4" w:space="0"/>
              <w:right w:val="single" w:color="auto" w:sz="4" w:space="0"/>
            </w:tcBorders>
            <w:noWrap w:val="0"/>
            <w:vAlign w:val="center"/>
          </w:tcPr>
          <w:p w14:paraId="2C67FE2D">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指标说明</w:t>
            </w:r>
          </w:p>
        </w:tc>
        <w:tc>
          <w:tcPr>
            <w:tcW w:w="7410" w:type="dxa"/>
            <w:vMerge w:val="restart"/>
            <w:tcBorders>
              <w:top w:val="single" w:color="auto" w:sz="4" w:space="0"/>
              <w:left w:val="single" w:color="auto" w:sz="4" w:space="0"/>
              <w:bottom w:val="single" w:color="auto" w:sz="4" w:space="0"/>
              <w:right w:val="single" w:color="auto" w:sz="4" w:space="0"/>
            </w:tcBorders>
            <w:noWrap w:val="0"/>
            <w:vAlign w:val="center"/>
          </w:tcPr>
          <w:p w14:paraId="745E9706">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评价标准</w:t>
            </w: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5C68F8DB">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备注</w:t>
            </w:r>
          </w:p>
        </w:tc>
      </w:tr>
      <w:tr w14:paraId="17CE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7A5B47EE">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54BE0CA6">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E75776E">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初赛</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745A5FF">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黑体" w:hAnsi="黑体" w:eastAsia="黑体" w:cs="黑体"/>
                <w:sz w:val="18"/>
                <w:szCs w:val="18"/>
                <w:highlight w:val="none"/>
                <w:lang w:eastAsia="zh-CN"/>
              </w:rPr>
            </w:pPr>
            <w:r>
              <w:rPr>
                <w:rFonts w:hint="default" w:ascii="黑体" w:hAnsi="黑体" w:eastAsia="黑体" w:cs="黑体"/>
                <w:sz w:val="18"/>
                <w:szCs w:val="18"/>
                <w:highlight w:val="none"/>
                <w:lang w:eastAsia="zh-CN"/>
              </w:rPr>
              <w:t>决赛</w:t>
            </w: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14:paraId="5D98D09C">
            <w:pPr>
              <w:adjustRightInd w:val="0"/>
              <w:snapToGrid w:val="0"/>
              <w:jc w:val="center"/>
              <w:rPr>
                <w:rFonts w:hint="default" w:ascii="Times New Roman" w:hAnsi="Times New Roman" w:eastAsia="宋体" w:cs="Times New Roman"/>
                <w:sz w:val="18"/>
                <w:szCs w:val="18"/>
                <w:highlight w:val="none"/>
              </w:rPr>
            </w:pPr>
          </w:p>
        </w:tc>
        <w:tc>
          <w:tcPr>
            <w:tcW w:w="2325" w:type="dxa"/>
            <w:vMerge w:val="continue"/>
            <w:tcBorders>
              <w:top w:val="single" w:color="auto" w:sz="4" w:space="0"/>
              <w:left w:val="single" w:color="auto" w:sz="4" w:space="0"/>
              <w:bottom w:val="single" w:color="auto" w:sz="4" w:space="0"/>
              <w:right w:val="single" w:color="auto" w:sz="4" w:space="0"/>
            </w:tcBorders>
            <w:noWrap w:val="0"/>
            <w:vAlign w:val="center"/>
          </w:tcPr>
          <w:p w14:paraId="2329CAB5">
            <w:pPr>
              <w:adjustRightInd w:val="0"/>
              <w:snapToGrid w:val="0"/>
              <w:jc w:val="center"/>
              <w:rPr>
                <w:rFonts w:hint="default" w:ascii="Times New Roman" w:hAnsi="Times New Roman" w:eastAsia="宋体" w:cs="Times New Roman"/>
                <w:sz w:val="18"/>
                <w:szCs w:val="18"/>
                <w:highlight w:val="none"/>
              </w:rPr>
            </w:pPr>
          </w:p>
        </w:tc>
        <w:tc>
          <w:tcPr>
            <w:tcW w:w="4500" w:type="dxa"/>
            <w:vMerge w:val="continue"/>
            <w:tcBorders>
              <w:top w:val="single" w:color="auto" w:sz="4" w:space="0"/>
              <w:left w:val="single" w:color="auto" w:sz="4" w:space="0"/>
              <w:bottom w:val="single" w:color="auto" w:sz="4" w:space="0"/>
              <w:right w:val="single" w:color="auto" w:sz="4" w:space="0"/>
            </w:tcBorders>
            <w:noWrap w:val="0"/>
            <w:vAlign w:val="center"/>
          </w:tcPr>
          <w:p w14:paraId="63F4F2D2">
            <w:pPr>
              <w:adjustRightInd w:val="0"/>
              <w:snapToGrid w:val="0"/>
              <w:jc w:val="center"/>
              <w:rPr>
                <w:rFonts w:hint="default" w:ascii="Times New Roman" w:hAnsi="Times New Roman" w:eastAsia="宋体" w:cs="Times New Roman"/>
                <w:sz w:val="18"/>
                <w:szCs w:val="18"/>
                <w:highlight w:val="none"/>
              </w:rPr>
            </w:pPr>
          </w:p>
        </w:tc>
        <w:tc>
          <w:tcPr>
            <w:tcW w:w="7410" w:type="dxa"/>
            <w:vMerge w:val="continue"/>
            <w:tcBorders>
              <w:top w:val="single" w:color="auto" w:sz="4" w:space="0"/>
              <w:left w:val="single" w:color="auto" w:sz="4" w:space="0"/>
              <w:bottom w:val="single" w:color="auto" w:sz="4" w:space="0"/>
              <w:right w:val="single" w:color="auto" w:sz="4" w:space="0"/>
            </w:tcBorders>
            <w:noWrap w:val="0"/>
            <w:vAlign w:val="center"/>
          </w:tcPr>
          <w:p w14:paraId="649D9A5D">
            <w:pPr>
              <w:adjustRightInd w:val="0"/>
              <w:snapToGrid w:val="0"/>
              <w:jc w:val="center"/>
              <w:rPr>
                <w:rFonts w:hint="default" w:ascii="Times New Roman" w:hAnsi="Times New Roman" w:eastAsia="宋体" w:cs="Times New Roman"/>
                <w:sz w:val="18"/>
                <w:szCs w:val="18"/>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05A1A020">
            <w:pPr>
              <w:adjustRightInd w:val="0"/>
              <w:snapToGrid w:val="0"/>
              <w:jc w:val="center"/>
              <w:rPr>
                <w:rFonts w:hint="default" w:ascii="Times New Roman" w:hAnsi="Times New Roman" w:eastAsia="宋体" w:cs="Times New Roman"/>
                <w:sz w:val="18"/>
                <w:szCs w:val="18"/>
                <w:highlight w:val="none"/>
              </w:rPr>
            </w:pPr>
          </w:p>
        </w:tc>
      </w:tr>
      <w:tr w14:paraId="732D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14:paraId="70287FDA">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地理标志传承</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0C856BE8">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管理机制</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625DD6B">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9EB9711">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9E8E156">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42CB9A7">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r>
              <w:rPr>
                <w:rFonts w:hint="default" w:ascii="Times New Roman" w:hAnsi="Times New Roman" w:eastAsia="宋体" w:cs="Times New Roman"/>
                <w:color w:val="auto"/>
                <w:sz w:val="18"/>
                <w:szCs w:val="18"/>
                <w:highlight w:val="none"/>
                <w:lang w:eastAsia="zh-CN"/>
              </w:rPr>
              <w:t>（仅决赛时增加</w:t>
            </w:r>
            <w:r>
              <w:rPr>
                <w:rFonts w:hint="default" w:ascii="Times New Roman" w:hAnsi="Times New Roman" w:eastAsia="宋体" w:cs="Times New Roman"/>
                <w:color w:val="auto"/>
                <w:sz w:val="18"/>
                <w:szCs w:val="18"/>
                <w:highlight w:val="none"/>
              </w:rPr>
              <w:t>路演介绍</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eastAsia="zh-CN"/>
              </w:rPr>
              <w:t>下同</w:t>
            </w:r>
            <w:r>
              <w:rPr>
                <w:rFonts w:hint="default" w:ascii="Times New Roman" w:hAnsi="Times New Roman" w:eastAsia="宋体" w:cs="Times New Roman"/>
                <w:color w:val="auto"/>
                <w:sz w:val="18"/>
                <w:szCs w:val="18"/>
                <w:highlight w:val="none"/>
                <w:lang w:val="en-US" w:eastAsia="zh-CN"/>
              </w:rPr>
              <w:t>）</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1487874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主要反映参赛主体在围绕制度建设、人员建设等方面，对地理标志进行管理的整体情况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2FA3DBC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设置与企业规模及业务范围相适应的地理标志相关管理部门，配备专业资质的管理人员情况，以及企业促进地理标志发展的制度建设及落实情况等</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0B4BD4D">
            <w:pPr>
              <w:adjustRightInd w:val="0"/>
              <w:snapToGrid w:val="0"/>
              <w:jc w:val="center"/>
              <w:rPr>
                <w:rFonts w:hint="default" w:ascii="Times New Roman" w:hAnsi="Times New Roman" w:eastAsia="宋体" w:cs="Times New Roman"/>
                <w:color w:val="auto"/>
                <w:sz w:val="18"/>
                <w:szCs w:val="18"/>
                <w:highlight w:val="none"/>
              </w:rPr>
            </w:pPr>
          </w:p>
        </w:tc>
      </w:tr>
      <w:tr w14:paraId="5356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7C8C4E87">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46D86062">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文化传承</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DAD672A">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493E88F">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8DB4FDA">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939C995">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1003F5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主要反映产品及包装体现传统文化特色情况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64A57CF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产品相关设计融入传统文化元素（如非遗技艺、传统手工艺、民俗等），体现传统美学风格情况</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AB7F7CE">
            <w:pPr>
              <w:adjustRightInd w:val="0"/>
              <w:snapToGrid w:val="0"/>
              <w:jc w:val="left"/>
              <w:rPr>
                <w:rFonts w:hint="default" w:ascii="Times New Roman" w:hAnsi="Times New Roman" w:eastAsia="宋体" w:cs="Times New Roman"/>
                <w:color w:val="auto"/>
                <w:sz w:val="18"/>
                <w:szCs w:val="18"/>
                <w:highlight w:val="none"/>
              </w:rPr>
            </w:pPr>
          </w:p>
        </w:tc>
      </w:tr>
      <w:tr w14:paraId="550F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5AB4FFEC">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AC49B15">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传承发展</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2F28676">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523DA70">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7B0D833">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86AA9F8">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F4D39E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主要反映引导本地农民参与情况，传统手工艺代际传承情况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3FB08E60">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产品具备的地方区域发展特色情况，对带动当地农民积极性的影响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CC325FC">
            <w:pPr>
              <w:adjustRightInd w:val="0"/>
              <w:snapToGrid w:val="0"/>
              <w:jc w:val="left"/>
              <w:rPr>
                <w:rFonts w:hint="default" w:ascii="Times New Roman" w:hAnsi="Times New Roman" w:eastAsia="宋体" w:cs="Times New Roman"/>
                <w:color w:val="auto"/>
                <w:sz w:val="18"/>
                <w:szCs w:val="18"/>
                <w:highlight w:val="none"/>
              </w:rPr>
            </w:pPr>
          </w:p>
        </w:tc>
      </w:tr>
      <w:tr w14:paraId="2EFA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14:paraId="7C1A89FF">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地理标志</w:t>
            </w:r>
            <w:r>
              <w:rPr>
                <w:rFonts w:hint="default" w:ascii="Times New Roman" w:hAnsi="Times New Roman" w:eastAsia="宋体" w:cs="Times New Roman"/>
                <w:color w:val="auto"/>
                <w:sz w:val="18"/>
                <w:szCs w:val="18"/>
                <w:highlight w:val="none"/>
                <w:lang w:eastAsia="zh-CN"/>
              </w:rPr>
              <w:t>产品</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7D98184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产地特色</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95BD4F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74144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C2A35A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A516E87">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D71FBB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主要考察用标企业生产经营的地理标志产品原产地的自然地理环境、传统工艺和制作方法。</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6BD64FD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企业生产经营的地理标志产品原产地的地理环境（气候、土壤、水质等）、传统工艺等情况</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68054C3">
            <w:pPr>
              <w:adjustRightInd w:val="0"/>
              <w:snapToGrid w:val="0"/>
              <w:jc w:val="left"/>
              <w:rPr>
                <w:rFonts w:hint="default" w:ascii="Times New Roman" w:hAnsi="Times New Roman" w:eastAsia="宋体" w:cs="Times New Roman"/>
                <w:color w:val="auto"/>
                <w:sz w:val="18"/>
                <w:szCs w:val="18"/>
                <w:highlight w:val="none"/>
              </w:rPr>
            </w:pPr>
          </w:p>
        </w:tc>
      </w:tr>
      <w:tr w14:paraId="606C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336336F7">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4670296">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产品特色</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F0E9E4A">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C1F3DCC">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2C9683E">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5CCA971">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64F192F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主要反映用标企业生产经营的地理标志产品所具备的独特质量、声誉及其他特性</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079849F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企业生产经营依托得天独厚的环境和相关条件，产品是否具有独特的质量，及知名度情况，是否具有其他特性</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8BCEA">
            <w:pPr>
              <w:adjustRightInd w:val="0"/>
              <w:snapToGrid w:val="0"/>
              <w:jc w:val="left"/>
              <w:rPr>
                <w:rFonts w:hint="default" w:ascii="Times New Roman" w:hAnsi="Times New Roman" w:eastAsia="宋体" w:cs="Times New Roman"/>
                <w:color w:val="auto"/>
                <w:sz w:val="18"/>
                <w:szCs w:val="18"/>
                <w:highlight w:val="none"/>
              </w:rPr>
            </w:pPr>
          </w:p>
        </w:tc>
      </w:tr>
      <w:tr w14:paraId="799A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14:paraId="500D59A5">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地理标志质量</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5717680">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eastAsia="zh-CN"/>
              </w:rPr>
              <w:t>用</w:t>
            </w:r>
            <w:r>
              <w:rPr>
                <w:rFonts w:hint="default" w:ascii="Times New Roman" w:hAnsi="Times New Roman" w:eastAsia="宋体" w:cs="Times New Roman"/>
                <w:color w:val="auto"/>
                <w:sz w:val="18"/>
                <w:szCs w:val="18"/>
                <w:highlight w:val="none"/>
              </w:rPr>
              <w:t>标</w:t>
            </w:r>
            <w:r>
              <w:rPr>
                <w:rFonts w:hint="default" w:ascii="Times New Roman" w:hAnsi="Times New Roman" w:eastAsia="宋体" w:cs="Times New Roman"/>
                <w:color w:val="auto"/>
                <w:sz w:val="18"/>
                <w:szCs w:val="18"/>
                <w:highlight w:val="none"/>
                <w:lang w:eastAsia="zh-CN"/>
              </w:rPr>
              <w:t>规模</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D73F727">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1B1B2B8">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448C4DC">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专家评审</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客观数据</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721910A">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620766A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主要考察地理标志的用标企业数量及规模</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016ECC9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用标企业数量及规模情况</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8B7275C">
            <w:pPr>
              <w:adjustRightInd w:val="0"/>
              <w:snapToGrid w:val="0"/>
              <w:jc w:val="left"/>
              <w:rPr>
                <w:rFonts w:hint="default" w:ascii="Times New Roman" w:hAnsi="Times New Roman" w:eastAsia="宋体" w:cs="Times New Roman"/>
                <w:color w:val="auto"/>
                <w:sz w:val="18"/>
                <w:szCs w:val="18"/>
                <w:highlight w:val="none"/>
              </w:rPr>
            </w:pPr>
          </w:p>
        </w:tc>
      </w:tr>
      <w:tr w14:paraId="6190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626EEE80">
            <w:pPr>
              <w:adjustRightInd w:val="0"/>
              <w:snapToGrid w:val="0"/>
              <w:jc w:val="center"/>
              <w:rPr>
                <w:rFonts w:hint="default" w:ascii="Times New Roman" w:hAnsi="Times New Roman" w:eastAsia="宋体" w:cs="Times New Roman"/>
                <w:color w:val="auto"/>
                <w:sz w:val="18"/>
                <w:szCs w:val="18"/>
                <w:highlight w:val="none"/>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7DF1F76">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eastAsia="zh-CN"/>
              </w:rPr>
              <w:t>质量体系</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032B9AE">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8EAEB4C">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AFD03CE">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865ABAB">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1E9BDC0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主要反映使用地理标志产品在质量监管、溯源体系建设方面的整体情况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4228841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企业质量管理体系认证情况，地理标志产品溯源体系建设情况</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86CABA7">
            <w:pPr>
              <w:adjustRightInd w:val="0"/>
              <w:snapToGrid w:val="0"/>
              <w:jc w:val="left"/>
              <w:rPr>
                <w:rFonts w:hint="default" w:ascii="Times New Roman" w:hAnsi="Times New Roman" w:eastAsia="宋体" w:cs="Times New Roman"/>
                <w:color w:val="auto"/>
                <w:sz w:val="18"/>
                <w:szCs w:val="18"/>
                <w:highlight w:val="none"/>
              </w:rPr>
            </w:pPr>
          </w:p>
        </w:tc>
      </w:tr>
      <w:tr w14:paraId="27FF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5CF394D7">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53BA5CBC">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质量监</w:t>
            </w:r>
            <w:r>
              <w:rPr>
                <w:rFonts w:hint="default" w:ascii="Times New Roman" w:hAnsi="Times New Roman" w:eastAsia="宋体" w:cs="Times New Roman"/>
                <w:color w:val="auto"/>
                <w:sz w:val="18"/>
                <w:szCs w:val="18"/>
                <w:highlight w:val="none"/>
                <w:lang w:eastAsia="zh-CN"/>
              </w:rPr>
              <w:t>管</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9552C3A">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263A954">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E55FD20">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5DBECB0">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A07AFD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主要反映企业在抽检抽查、售后服务等方面的情况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05D15C5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地理标志产品在抽检过程中的表现情况、企业售后服务管理情况等</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7F700D38">
            <w:pPr>
              <w:adjustRightInd w:val="0"/>
              <w:snapToGrid w:val="0"/>
              <w:jc w:val="left"/>
              <w:rPr>
                <w:rFonts w:hint="default" w:ascii="Times New Roman" w:hAnsi="Times New Roman" w:eastAsia="宋体" w:cs="Times New Roman"/>
                <w:color w:val="auto"/>
                <w:sz w:val="18"/>
                <w:szCs w:val="18"/>
                <w:highlight w:val="none"/>
              </w:rPr>
            </w:pPr>
          </w:p>
        </w:tc>
      </w:tr>
      <w:tr w14:paraId="5D90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2E9738A5">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467A20C6">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标准认证</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6C61FFD">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2283B85">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C99EAD9">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B2C3DA5">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65FD26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主要反映使用地理标志产品在评准执行或制订，认证体系建设方面的整体情况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3CD1C6C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地理标志产品执行、使用或制订（参与制订）相关国家标准、地方标准或团体标准情况，地理标志产品获得相关认证情况</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224E59A6">
            <w:pPr>
              <w:adjustRightInd w:val="0"/>
              <w:snapToGrid w:val="0"/>
              <w:jc w:val="left"/>
              <w:rPr>
                <w:rFonts w:hint="default" w:ascii="Times New Roman" w:hAnsi="Times New Roman" w:eastAsia="宋体" w:cs="Times New Roman"/>
                <w:color w:val="auto"/>
                <w:sz w:val="18"/>
                <w:szCs w:val="18"/>
                <w:highlight w:val="none"/>
              </w:rPr>
            </w:pPr>
          </w:p>
        </w:tc>
      </w:tr>
      <w:tr w14:paraId="687E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14:paraId="6DCD532A">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地理标志运营</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E5ABE39">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品牌</w:t>
            </w:r>
            <w:r>
              <w:rPr>
                <w:rFonts w:hint="default" w:ascii="Times New Roman" w:hAnsi="Times New Roman" w:eastAsia="宋体" w:cs="Times New Roman"/>
                <w:color w:val="auto"/>
                <w:sz w:val="18"/>
                <w:szCs w:val="18"/>
                <w:highlight w:val="none"/>
                <w:lang w:val="en-US" w:eastAsia="zh-CN"/>
              </w:rPr>
              <w:t>推广</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9E4AFFF">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4C3AEC7">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F1A3C14">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4C8D772">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42579F8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主要反映地理标志产品、商标的传播力度与影响力建设情况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2C1F699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推广渠道覆盖度，品牌推广活动及实际效果，品牌推广与地域特色、品质优势与文化内涵的结合情况</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2D8AE28">
            <w:pPr>
              <w:adjustRightInd w:val="0"/>
              <w:snapToGrid w:val="0"/>
              <w:jc w:val="left"/>
              <w:rPr>
                <w:rFonts w:hint="default" w:ascii="Times New Roman" w:hAnsi="Times New Roman" w:eastAsia="宋体" w:cs="Times New Roman"/>
                <w:color w:val="auto"/>
                <w:sz w:val="18"/>
                <w:szCs w:val="18"/>
                <w:highlight w:val="none"/>
              </w:rPr>
            </w:pPr>
          </w:p>
        </w:tc>
      </w:tr>
      <w:tr w14:paraId="0FFD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667E25FB">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D705165">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产业融合</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E657FC3">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7D66360">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14AC752">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64DF84E">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B6826D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主要反映产品关联产业协同发展情况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5366A28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地理标志与文创、旅游等关联产业协同发展情况；以地理标志产品生产为主导，带动种植、储藏、加工、运输、销售等二、三产业联动发展情况等</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7CE22AF">
            <w:pPr>
              <w:adjustRightInd w:val="0"/>
              <w:snapToGrid w:val="0"/>
              <w:jc w:val="left"/>
              <w:rPr>
                <w:rFonts w:hint="default" w:ascii="Times New Roman" w:hAnsi="Times New Roman" w:eastAsia="宋体" w:cs="Times New Roman"/>
                <w:color w:val="auto"/>
                <w:sz w:val="18"/>
                <w:szCs w:val="18"/>
                <w:highlight w:val="none"/>
              </w:rPr>
            </w:pPr>
          </w:p>
        </w:tc>
      </w:tr>
      <w:tr w14:paraId="7031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155B4315">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77A55529">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市场</w:t>
            </w:r>
            <w:r>
              <w:rPr>
                <w:rFonts w:hint="default" w:ascii="Times New Roman" w:hAnsi="Times New Roman" w:eastAsia="宋体" w:cs="Times New Roman"/>
                <w:color w:val="auto"/>
                <w:sz w:val="18"/>
                <w:szCs w:val="18"/>
                <w:highlight w:val="none"/>
                <w:lang w:eastAsia="zh-CN"/>
              </w:rPr>
              <w:t>供需</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7C8C480">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959EFF8">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3CBF9E5">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8486B68">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401D88E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主要反映企业当下市场生产及供需稳定性及产品覆盖消费群体多样性情况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03452DD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地理标志产品企业的市场供应链稳定情况；产品积压及消费群多样性等情况</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FE679A0">
            <w:pPr>
              <w:adjustRightInd w:val="0"/>
              <w:snapToGrid w:val="0"/>
              <w:jc w:val="left"/>
              <w:rPr>
                <w:rFonts w:hint="default" w:ascii="Times New Roman" w:hAnsi="Times New Roman" w:eastAsia="宋体" w:cs="Times New Roman"/>
                <w:color w:val="auto"/>
                <w:sz w:val="18"/>
                <w:szCs w:val="18"/>
                <w:highlight w:val="none"/>
              </w:rPr>
            </w:pPr>
          </w:p>
        </w:tc>
      </w:tr>
      <w:tr w14:paraId="15D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12FAC641">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4FCAB1D8">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eastAsia="zh-CN"/>
              </w:rPr>
              <w:t>地理标志</w:t>
            </w:r>
            <w:r>
              <w:rPr>
                <w:rFonts w:hint="default" w:ascii="Times New Roman" w:hAnsi="Times New Roman" w:eastAsia="宋体" w:cs="Times New Roman"/>
                <w:color w:val="auto"/>
                <w:sz w:val="18"/>
                <w:szCs w:val="18"/>
                <w:highlight w:val="none"/>
              </w:rPr>
              <w:t>知名度</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BB5D9A5">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DD51C1C">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F4A398A">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7BC5D0B">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917632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主要反映相关公众对商标品牌的知晓情况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41F0681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宣传投入、媒体报道等情况。参赛主体提供宣传广告材料、媒体报道情况等证明资料</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D39BAE5">
            <w:pPr>
              <w:adjustRightInd w:val="0"/>
              <w:snapToGrid w:val="0"/>
              <w:jc w:val="left"/>
              <w:rPr>
                <w:rFonts w:hint="default" w:ascii="Times New Roman" w:hAnsi="Times New Roman" w:eastAsia="宋体" w:cs="Times New Roman"/>
                <w:color w:val="auto"/>
                <w:sz w:val="18"/>
                <w:szCs w:val="18"/>
                <w:highlight w:val="none"/>
              </w:rPr>
            </w:pPr>
          </w:p>
        </w:tc>
      </w:tr>
      <w:tr w14:paraId="4E01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14:paraId="33786D96">
            <w:pPr>
              <w:adjustRightInd w:val="0"/>
              <w:snapToGrid w:val="0"/>
              <w:jc w:val="center"/>
              <w:rPr>
                <w:rFonts w:hint="default" w:ascii="Times New Roman" w:hAnsi="Times New Roman" w:eastAsia="宋体" w:cs="Times New Roman"/>
                <w:color w:val="auto"/>
                <w:sz w:val="18"/>
                <w:szCs w:val="18"/>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3C2D04F7">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地理标志美誉</w:t>
            </w:r>
            <w:r>
              <w:rPr>
                <w:rFonts w:hint="default" w:ascii="Times New Roman" w:hAnsi="Times New Roman" w:eastAsia="宋体" w:cs="Times New Roman"/>
                <w:color w:val="auto"/>
                <w:sz w:val="18"/>
                <w:szCs w:val="18"/>
                <w:highlight w:val="none"/>
              </w:rPr>
              <w:t>度</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6895055">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C5A92D0">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4ACF45B">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7C100089">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49FF766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主要反映相关公众对商标品牌的认可情况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4FA885B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公众对地理标志产品及品牌认可程度，在地理标志产品质量或服务方面获奖情况等；参赛主体可提供相关研究机构已公开发布的对此项内容的研究报告、相关获奖证据等证明资料</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45850E2">
            <w:pPr>
              <w:adjustRightInd w:val="0"/>
              <w:snapToGrid w:val="0"/>
              <w:jc w:val="left"/>
              <w:rPr>
                <w:rFonts w:hint="default" w:ascii="Times New Roman" w:hAnsi="Times New Roman" w:eastAsia="宋体" w:cs="Times New Roman"/>
                <w:color w:val="auto"/>
                <w:sz w:val="18"/>
                <w:szCs w:val="18"/>
                <w:highlight w:val="none"/>
              </w:rPr>
            </w:pPr>
          </w:p>
        </w:tc>
      </w:tr>
      <w:tr w14:paraId="0EC2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14:paraId="46370771">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转化效果</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21C8512">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地理标志投入</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7CF7DBF">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BFEA781">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2E30B66">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7461486E">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61BEB86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主要反映近三年以来（2022年以来，企业成立不满足3年的，为成立以来）参赛主体对地理标志的投入情况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0204756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2022年以来（企业成立不满足3年的，为成立以来），参赛主体对地理标志的直接投入情况（主要包括科研经费投入、融资投入、直接相关的基础设施投入、广告宣传投入等），需提交有效的合同、发票、付款凭证等证明资料（如涉及企业商业秘密的，请脱敏处理并标注仅供本赛事使用，但须完整体现地理标志投入的总金额等数据并作相应说明）；企业年均投入对比行业均值及渠道覆盖度情况等</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C45C68">
            <w:pPr>
              <w:adjustRightInd w:val="0"/>
              <w:snapToGrid w:val="0"/>
              <w:jc w:val="left"/>
              <w:rPr>
                <w:rFonts w:hint="default" w:ascii="Times New Roman" w:hAnsi="Times New Roman" w:eastAsia="宋体" w:cs="Times New Roman"/>
                <w:color w:val="auto"/>
                <w:sz w:val="18"/>
                <w:szCs w:val="18"/>
                <w:highlight w:val="none"/>
              </w:rPr>
            </w:pPr>
          </w:p>
        </w:tc>
      </w:tr>
      <w:tr w14:paraId="3C95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3E76BA67">
            <w:pPr>
              <w:adjustRightInd w:val="0"/>
              <w:snapToGrid w:val="0"/>
              <w:jc w:val="center"/>
              <w:rPr>
                <w:rFonts w:hint="default" w:ascii="Times New Roman" w:hAnsi="Times New Roman" w:eastAsia="宋体" w:cs="Times New Roman"/>
                <w:color w:val="auto"/>
                <w:sz w:val="18"/>
                <w:szCs w:val="18"/>
                <w:highlight w:val="none"/>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4164CD44">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经济效益</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575461B">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8910A16">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0E60076">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5CC29771">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84AC00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主要反映衡量地理标志商标通过推广等举措带来的经济价值</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463C8E2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产品销售额、增长率及销售情况，表述对区域经济带动的效果</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6895B166">
            <w:pPr>
              <w:adjustRightInd w:val="0"/>
              <w:snapToGrid w:val="0"/>
              <w:jc w:val="left"/>
              <w:rPr>
                <w:rFonts w:hint="default" w:ascii="Times New Roman" w:hAnsi="Times New Roman" w:eastAsia="宋体" w:cs="Times New Roman"/>
                <w:color w:val="auto"/>
                <w:sz w:val="18"/>
                <w:szCs w:val="18"/>
                <w:highlight w:val="none"/>
              </w:rPr>
            </w:pPr>
          </w:p>
        </w:tc>
      </w:tr>
      <w:tr w14:paraId="5393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64C9994A">
            <w:pPr>
              <w:adjustRightInd w:val="0"/>
              <w:snapToGrid w:val="0"/>
              <w:jc w:val="center"/>
              <w:rPr>
                <w:rFonts w:hint="default" w:ascii="Times New Roman" w:hAnsi="Times New Roman" w:eastAsia="宋体" w:cs="Times New Roman"/>
                <w:color w:val="auto"/>
                <w:sz w:val="18"/>
                <w:szCs w:val="18"/>
                <w:highlight w:val="none"/>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3F16D02F">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社会效益</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A43C9D1">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909C7E5">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0B50E0C">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8D366F3">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AA2D14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主要反映企业近三年来促进地方产业就业情况，助力乡村振兴工作</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5A017F6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近三年来企业通过生产、加工、销售等环节，直接或间接吸纳当地劳动力就业情况；在促进乡村经济、改善农村基础设施、提升乡村品牌等方面的贡献情况</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73D469ED">
            <w:pPr>
              <w:adjustRightInd w:val="0"/>
              <w:snapToGrid w:val="0"/>
              <w:jc w:val="left"/>
              <w:rPr>
                <w:rFonts w:hint="default" w:ascii="Times New Roman" w:hAnsi="Times New Roman" w:eastAsia="宋体" w:cs="Times New Roman"/>
                <w:color w:val="auto"/>
                <w:sz w:val="18"/>
                <w:szCs w:val="18"/>
                <w:highlight w:val="none"/>
              </w:rPr>
            </w:pPr>
          </w:p>
        </w:tc>
      </w:tr>
      <w:tr w14:paraId="66EB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763A4D9A">
            <w:pPr>
              <w:adjustRightInd w:val="0"/>
              <w:snapToGrid w:val="0"/>
              <w:jc w:val="center"/>
              <w:rPr>
                <w:rFonts w:hint="default" w:ascii="Times New Roman" w:hAnsi="Times New Roman" w:eastAsia="宋体" w:cs="Times New Roman"/>
                <w:color w:val="auto"/>
                <w:sz w:val="18"/>
                <w:szCs w:val="18"/>
                <w:highlight w:val="none"/>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47A2B01B">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可持续发展</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C2B947A">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B731162">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8F1C4A4">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7A3429B8">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DE72F2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主要反映企业企业资源节约、资源回收、使用先进设备或技艺处理污染物情况</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070620C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近年企业采用的节约环保措施，所建立的资源回收体系情况</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64831613">
            <w:pPr>
              <w:adjustRightInd w:val="0"/>
              <w:snapToGrid w:val="0"/>
              <w:jc w:val="left"/>
              <w:rPr>
                <w:rFonts w:hint="default" w:ascii="Times New Roman" w:hAnsi="Times New Roman" w:eastAsia="宋体" w:cs="Times New Roman"/>
                <w:color w:val="auto"/>
                <w:sz w:val="18"/>
                <w:szCs w:val="18"/>
                <w:highlight w:val="none"/>
              </w:rPr>
            </w:pPr>
          </w:p>
        </w:tc>
      </w:tr>
      <w:tr w14:paraId="4515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14:paraId="2A306D95">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附加分</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C6F1DD4">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eastAsia="zh-CN"/>
              </w:rPr>
              <w:t>地理标志</w:t>
            </w:r>
            <w:r>
              <w:rPr>
                <w:rFonts w:hint="default" w:ascii="Times New Roman" w:hAnsi="Times New Roman" w:eastAsia="宋体" w:cs="Times New Roman"/>
                <w:color w:val="auto"/>
                <w:sz w:val="18"/>
                <w:szCs w:val="18"/>
                <w:highlight w:val="none"/>
              </w:rPr>
              <w:t>工作的亮点与创新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793A6B8">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7F82F74">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7A81FBC">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专家评审</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2392253">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项目提交材料、</w:t>
            </w:r>
            <w:r>
              <w:rPr>
                <w:rFonts w:hint="default" w:ascii="Times New Roman" w:hAnsi="Times New Roman" w:eastAsia="宋体" w:cs="Times New Roman"/>
                <w:color w:val="auto"/>
                <w:sz w:val="18"/>
                <w:szCs w:val="18"/>
                <w:highlight w:val="none"/>
              </w:rPr>
              <w:t>路演介绍</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14332A1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主要反映参赛主体在地理标志产业发展过程中具有显著效果的工作与具有创新性的工作</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3699EFE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参赛主体在地理标志培育、推介、交易、地理标志品牌建设等工作过程中，具有创新性的经验做法及取得的成效</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7E832E14">
            <w:pPr>
              <w:adjustRightInd w:val="0"/>
              <w:snapToGrid w:val="0"/>
              <w:jc w:val="left"/>
              <w:rPr>
                <w:rFonts w:hint="default" w:ascii="Times New Roman" w:hAnsi="Times New Roman" w:eastAsia="宋体" w:cs="Times New Roman"/>
                <w:color w:val="auto"/>
                <w:sz w:val="18"/>
                <w:szCs w:val="18"/>
                <w:highlight w:val="none"/>
              </w:rPr>
            </w:pPr>
          </w:p>
        </w:tc>
      </w:tr>
      <w:tr w14:paraId="0C68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14:paraId="3ACA1751">
            <w:pPr>
              <w:adjustRightInd w:val="0"/>
              <w:snapToGrid w:val="0"/>
              <w:jc w:val="center"/>
              <w:rPr>
                <w:rFonts w:hint="default" w:ascii="Times New Roman" w:hAnsi="Times New Roman" w:eastAsia="宋体" w:cs="Times New Roman"/>
                <w:color w:val="auto"/>
                <w:sz w:val="18"/>
                <w:szCs w:val="18"/>
                <w:highlight w:val="none"/>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4FD32AD0">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网络投票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78E6056">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EE89E0">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3CEAA7C">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客观指标</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2CECCD2">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网站信息</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4ED88A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初赛完成后根据赛程安排将组织网络投票，根据投票情况进行分数核算</w:t>
            </w:r>
          </w:p>
        </w:tc>
        <w:tc>
          <w:tcPr>
            <w:tcW w:w="7410" w:type="dxa"/>
            <w:tcBorders>
              <w:top w:val="single" w:color="auto" w:sz="4" w:space="0"/>
              <w:left w:val="single" w:color="auto" w:sz="4" w:space="0"/>
              <w:bottom w:val="single" w:color="auto" w:sz="4" w:space="0"/>
              <w:right w:val="single" w:color="auto" w:sz="4" w:space="0"/>
            </w:tcBorders>
            <w:noWrap w:val="0"/>
            <w:vAlign w:val="center"/>
          </w:tcPr>
          <w:p w14:paraId="3778218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Cs w:val="0"/>
                <w:color w:val="auto"/>
                <w:sz w:val="18"/>
                <w:szCs w:val="18"/>
                <w:highlight w:val="none"/>
                <w:vertAlign w:val="baseline"/>
                <w:lang w:val="en-US" w:eastAsia="zh-CN"/>
              </w:rPr>
            </w:pPr>
            <w:r>
              <w:rPr>
                <w:rFonts w:hint="default" w:ascii="Times New Roman" w:hAnsi="Times New Roman" w:eastAsia="宋体" w:cs="Times New Roman"/>
                <w:bCs w:val="0"/>
                <w:color w:val="auto"/>
                <w:sz w:val="18"/>
                <w:szCs w:val="18"/>
                <w:highlight w:val="none"/>
                <w:vertAlign w:val="baseline"/>
                <w:lang w:val="en-US" w:eastAsia="zh-CN"/>
              </w:rPr>
              <w:t>0-500票（网络投票得分为总得票数除以100，得分保留小数点后两位）</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6C433563">
            <w:pPr>
              <w:adjustRightInd w:val="0"/>
              <w:snapToGrid w:val="0"/>
              <w:jc w:val="left"/>
              <w:rPr>
                <w:rFonts w:hint="default" w:ascii="Times New Roman" w:hAnsi="Times New Roman" w:eastAsia="宋体" w:cs="Times New Roman"/>
                <w:color w:val="auto"/>
                <w:sz w:val="18"/>
                <w:szCs w:val="18"/>
                <w:highlight w:val="none"/>
              </w:rPr>
            </w:pPr>
          </w:p>
        </w:tc>
      </w:tr>
      <w:tr w14:paraId="3EA1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70" w:type="dxa"/>
            <w:gridSpan w:val="2"/>
            <w:tcBorders>
              <w:top w:val="single" w:color="auto" w:sz="4" w:space="0"/>
              <w:left w:val="single" w:color="auto" w:sz="4" w:space="0"/>
              <w:bottom w:val="single" w:color="auto" w:sz="4" w:space="0"/>
              <w:right w:val="single" w:color="auto" w:sz="4" w:space="0"/>
            </w:tcBorders>
            <w:noWrap w:val="0"/>
            <w:vAlign w:val="center"/>
          </w:tcPr>
          <w:p w14:paraId="03757022">
            <w:pPr>
              <w:adjustRightInd w:val="0"/>
              <w:snapToGrid w:val="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合计</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E7D296E">
            <w:pPr>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lang w:val="en-US" w:eastAsia="zh-CN"/>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CB6E6D">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110</w:t>
            </w:r>
          </w:p>
        </w:tc>
        <w:tc>
          <w:tcPr>
            <w:tcW w:w="16785" w:type="dxa"/>
            <w:gridSpan w:val="5"/>
            <w:tcBorders>
              <w:top w:val="single" w:color="auto" w:sz="4" w:space="0"/>
              <w:left w:val="single" w:color="auto" w:sz="4" w:space="0"/>
              <w:bottom w:val="single" w:color="auto" w:sz="4" w:space="0"/>
              <w:right w:val="single" w:color="auto" w:sz="4" w:space="0"/>
            </w:tcBorders>
            <w:noWrap w:val="0"/>
            <w:vAlign w:val="center"/>
          </w:tcPr>
          <w:p w14:paraId="1AA4F82C">
            <w:pPr>
              <w:adjustRightInd w:val="0"/>
              <w:snapToGrid w:val="0"/>
              <w:jc w:val="left"/>
              <w:rPr>
                <w:rFonts w:hint="default" w:ascii="Times New Roman" w:hAnsi="Times New Roman" w:eastAsia="宋体" w:cs="Times New Roman"/>
                <w:color w:val="auto"/>
                <w:sz w:val="18"/>
                <w:szCs w:val="18"/>
                <w:highlight w:val="none"/>
              </w:rPr>
            </w:pPr>
          </w:p>
        </w:tc>
      </w:tr>
    </w:tbl>
    <w:p w14:paraId="623DE35D">
      <w:pPr>
        <w:pStyle w:val="3"/>
        <w:rPr>
          <w:rFonts w:hint="eastAsia" w:ascii="仿宋_GB2312" w:hAnsi="仿宋_GB2312" w:eastAsia="仿宋_GB2312" w:cs="仿宋_GB2312"/>
          <w:sz w:val="32"/>
          <w:szCs w:val="32"/>
          <w:highlight w:val="none"/>
          <w:lang w:eastAsia="zh-CN"/>
        </w:rPr>
      </w:pPr>
    </w:p>
    <w:p w14:paraId="4C80008D">
      <w:pPr>
        <w:rPr>
          <w:rFonts w:hint="eastAsia" w:ascii="仿宋_GB2312" w:hAnsi="仿宋_GB2312" w:eastAsia="仿宋_GB2312" w:cs="仿宋_GB2312"/>
          <w:sz w:val="32"/>
          <w:szCs w:val="32"/>
          <w:highlight w:val="none"/>
          <w:lang w:eastAsia="zh-CN"/>
        </w:rPr>
      </w:pPr>
    </w:p>
    <w:p w14:paraId="074DD0C7">
      <w:pPr>
        <w:pStyle w:val="4"/>
        <w:rPr>
          <w:rFonts w:hint="eastAsia" w:eastAsia="黑体"/>
          <w:sz w:val="32"/>
          <w:szCs w:val="32"/>
          <w:highlight w:val="none"/>
          <w:lang w:val="en-US" w:eastAsia="zh-CN"/>
        </w:rPr>
        <w:sectPr>
          <w:pgSz w:w="23811" w:h="16838" w:orient="landscape"/>
          <w:pgMar w:top="1587" w:right="1587" w:bottom="1531" w:left="1531" w:header="851" w:footer="1134" w:gutter="0"/>
          <w:pgBorders w:offsetFrom="page">
            <w:top w:val="none" w:sz="0" w:space="0"/>
            <w:left w:val="none" w:sz="0" w:space="0"/>
            <w:bottom w:val="none" w:sz="0" w:space="0"/>
            <w:right w:val="none" w:sz="0" w:space="0"/>
          </w:pgBorders>
          <w:pgNumType w:fmt="decimal"/>
          <w:cols w:space="720" w:num="1"/>
          <w:docGrid w:type="lines" w:linePitch="327" w:charSpace="0"/>
        </w:sectPr>
      </w:pPr>
    </w:p>
    <w:p w14:paraId="337D7BF4">
      <w:pPr>
        <w:pStyle w:val="4"/>
        <w:ind w:left="0" w:leftChars="0" w:firstLine="0" w:firstLineChars="0"/>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附件7</w:t>
      </w:r>
    </w:p>
    <w:p w14:paraId="4495402B">
      <w:pPr>
        <w:pStyle w:val="4"/>
        <w:adjustRightInd w:val="0"/>
        <w:snapToGrid w:val="0"/>
        <w:spacing w:after="0" w:line="580" w:lineRule="exact"/>
        <w:ind w:left="0" w:leftChars="0" w:firstLine="0" w:firstLineChars="0"/>
        <w:jc w:val="center"/>
        <w:rPr>
          <w:rFonts w:hint="eastAsia" w:ascii="小标宋" w:hAnsi="小标宋" w:eastAsia="小标宋" w:cs="小标宋"/>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潮州特色产业组参赛项目要求特别说明</w:t>
      </w:r>
    </w:p>
    <w:p w14:paraId="25A40560">
      <w:pPr>
        <w:pStyle w:val="4"/>
        <w:spacing w:line="540" w:lineRule="exact"/>
        <w:ind w:left="0" w:leftChars="0" w:firstLine="640" w:firstLineChars="200"/>
        <w:rPr>
          <w:rFonts w:hint="default" w:ascii="Times New Roman" w:hAnsi="Times New Roman" w:eastAsia="仿宋_GB2312" w:cs="Times New Roman"/>
          <w:color w:val="auto"/>
          <w:kern w:val="0"/>
          <w:sz w:val="32"/>
          <w:szCs w:val="32"/>
          <w:highlight w:val="none"/>
          <w:shd w:val="clear" w:color="auto" w:fill="auto"/>
          <w:lang w:val="en-US" w:eastAsia="zh-CN" w:bidi="ar"/>
        </w:rPr>
      </w:pPr>
    </w:p>
    <w:p w14:paraId="7D7D888C">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pPr>
      <w:r>
        <w:rPr>
          <w:rFonts w:hint="default" w:ascii="Times New Roman" w:hAnsi="Times New Roman" w:eastAsia="仿宋_GB2312" w:cs="Times New Roman"/>
          <w:color w:val="auto"/>
          <w:kern w:val="0"/>
          <w:sz w:val="32"/>
          <w:szCs w:val="32"/>
          <w:highlight w:val="none"/>
          <w:shd w:val="clear" w:color="auto" w:fill="auto"/>
          <w:lang w:val="en-US" w:eastAsia="zh-CN" w:bidi="ar"/>
        </w:rPr>
        <w:t>潮州特色产业</w:t>
      </w:r>
      <w:r>
        <w:rPr>
          <w:rFonts w:hint="eastAsia" w:ascii="Times New Roman" w:hAnsi="Times New Roman" w:eastAsia="仿宋_GB2312" w:cs="Times New Roman"/>
          <w:color w:val="auto"/>
          <w:kern w:val="0"/>
          <w:sz w:val="32"/>
          <w:szCs w:val="32"/>
          <w:highlight w:val="none"/>
          <w:shd w:val="clear" w:color="auto" w:fill="auto"/>
          <w:lang w:val="en-US" w:eastAsia="zh-CN" w:bidi="ar"/>
        </w:rPr>
        <w:t>组</w:t>
      </w:r>
      <w:r>
        <w:rPr>
          <w:rFonts w:hint="default" w:ascii="Times New Roman" w:hAnsi="Times New Roman" w:eastAsia="仿宋_GB2312" w:cs="Times New Roman"/>
          <w:color w:val="auto"/>
          <w:kern w:val="0"/>
          <w:sz w:val="32"/>
          <w:szCs w:val="32"/>
          <w:highlight w:val="none"/>
          <w:shd w:val="clear" w:color="auto" w:fill="auto"/>
          <w:lang w:val="en-US" w:eastAsia="zh-CN" w:bidi="ar"/>
        </w:rPr>
        <w:t>（智能卫浴）主要面向</w:t>
      </w:r>
      <w:r>
        <w:rPr>
          <w:rFonts w:hint="eastAsia" w:ascii="Times New Roman" w:hAnsi="Times New Roman" w:eastAsia="仿宋_GB2312" w:cs="Times New Roman"/>
          <w:color w:val="auto"/>
          <w:kern w:val="0"/>
          <w:sz w:val="32"/>
          <w:szCs w:val="32"/>
          <w:highlight w:val="none"/>
          <w:shd w:val="clear" w:color="auto" w:fill="auto"/>
          <w:lang w:val="en-US" w:eastAsia="zh-CN" w:bidi="ar"/>
        </w:rPr>
        <w:t>：</w:t>
      </w:r>
      <w:r>
        <w:rPr>
          <w:rFonts w:hint="default" w:ascii="Times New Roman" w:hAnsi="Times New Roman" w:eastAsia="仿宋_GB2312" w:cs="Times New Roman"/>
          <w:color w:val="auto"/>
          <w:kern w:val="0"/>
          <w:sz w:val="32"/>
          <w:szCs w:val="32"/>
          <w:highlight w:val="none"/>
          <w:shd w:val="clear" w:color="auto" w:fill="auto"/>
          <w:lang w:val="en-US" w:eastAsia="zh-CN" w:bidi="ar"/>
        </w:rPr>
        <w:t>卫生陶瓷制品制造、智能卫浴产品制造、五金制品制造、浴室家具制造等。（例：智能坐便器、智能盖板、智能淋浴、智能浴缸、智能镜柜、浴室柜、智能龙头、智能花洒等品类），重点围绕智能控制（例：核心控制单元、执行机构控制、智能逻辑、电子（气）物理设备及其他电子设备制造、电子元器件制造、其他电子器件制造、电路板制造等）、配件生产（例：家具零配件生产、机械零件、零部件加工、通用零部件制造等）、相关产品研发（例：卫生洁具研发、五金产品研发、阀门和旋塞研发、家用电器研发、机械设备研发等）、传感感知（例：人体/存在检测、环境/状态传感、健康检测传感等）、水系统与节水（例：坐便器进水阀/排水阀、冲洗/清洗系统、恒温/混水、节水与回用、水路杀菌等）、健康与清洁（例：清洁护理、健康监测、卫生防护等）、人机交互（本地交互、智能镜柜交互、用户记忆、场景模式、人工智能应用软件开发、智能家庭消费设备软硬件研发等）、新材料研发与结构（新型建筑材料制造（不含危险化学品）、技术玻璃制品制造、塑料制品制造、抗菌/耐污材料、轻量化/高强度、密封与降噪等）、物联网与云端（连接与协议、云端服务、智能家居联动等）、安全与节能（电气安全、防烫/防干烧、低功耗设计）等技术领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4E47">
    <w:pPr>
      <w:pStyle w:val="5"/>
      <w:spacing w:line="300" w:lineRule="exact"/>
      <w:ind w:left="0" w:leftChars="0" w:right="374" w:rightChars="117" w:firstLine="217" w:firstLineChars="1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63B24E65">
                          <w:pPr>
                            <w:pStyle w:val="5"/>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c1QNIAAAAFAQAADwAAAAAAAAABACAAAAAiAAAAZHJz&#10;L2Rvd25yZXYueG1sUEsBAhQAFAAAAAgAh07iQC6isx/RAQAAowMAAA4AAAAAAAAAAQAgAAAAIQEA&#10;AGRycy9lMm9Eb2MueG1sUEsFBgAAAAAGAAYAWQEAAGQFAAAAAA==&#10;">
              <v:path/>
              <v:fill on="f" focussize="0,0"/>
              <v:stroke on="f" weight="2.25pt"/>
              <v:imagedata o:title=""/>
              <o:lock v:ext="edit" aspectratio="f"/>
              <v:textbox inset="0mm,0mm,0mm,0mm" style="mso-fit-shape-to-text:t;">
                <w:txbxContent>
                  <w:p w14:paraId="63B24E65">
                    <w:pPr>
                      <w:pStyle w:val="5"/>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91F39">
    <w:pPr>
      <w:pStyle w:val="5"/>
      <w:spacing w:line="300" w:lineRule="exact"/>
      <w:ind w:right="374" w:rightChars="117"/>
      <w:rPr>
        <w:spacing w:val="40"/>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E9651">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v:textbox inset="0mm,0mm,0mm,0mm" style="mso-fit-shape-to-text:t;">
                <w:txbxContent>
                  <w:p w14:paraId="1B1E9651">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6894">
    <w:pPr>
      <w:pStyle w:val="5"/>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CB414"/>
    <w:multiLevelType w:val="singleLevel"/>
    <w:tmpl w:val="932CB414"/>
    <w:lvl w:ilvl="0" w:tentative="0">
      <w:start w:val="3"/>
      <w:numFmt w:val="decimal"/>
      <w:suff w:val="nothing"/>
      <w:lvlText w:val="%1．"/>
      <w:lvlJc w:val="left"/>
    </w:lvl>
  </w:abstractNum>
  <w:abstractNum w:abstractNumId="1">
    <w:nsid w:val="00000001"/>
    <w:multiLevelType w:val="singleLevel"/>
    <w:tmpl w:val="0000000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54CDF"/>
    <w:rsid w:val="2A45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1"/>
    <w:qFormat/>
    <w:uiPriority w:val="0"/>
    <w:pPr>
      <w:autoSpaceDE w:val="0"/>
      <w:autoSpaceDN w:val="0"/>
      <w:jc w:val="left"/>
    </w:pPr>
    <w:rPr>
      <w:rFonts w:ascii="宋体" w:hAnsi="宋体" w:eastAsia="宋体" w:cs="宋体"/>
      <w:kern w:val="0"/>
      <w:sz w:val="28"/>
      <w:szCs w:val="28"/>
      <w:lang w:eastAsia="en-US"/>
    </w:rPr>
  </w:style>
  <w:style w:type="paragraph" w:styleId="4">
    <w:name w:val="Body Text Indent 2"/>
    <w:basedOn w:val="1"/>
    <w:next w:val="3"/>
    <w:qFormat/>
    <w:uiPriority w:val="0"/>
    <w:pPr>
      <w:spacing w:line="500" w:lineRule="exact"/>
      <w:ind w:firstLine="675" w:firstLineChars="225"/>
    </w:pPr>
    <w:rPr>
      <w:rFonts w:ascii="仿宋_GB2312"/>
      <w:sz w:val="30"/>
    </w:rPr>
  </w:style>
  <w:style w:type="paragraph" w:styleId="5">
    <w:name w:val="footer"/>
    <w:basedOn w:val="1"/>
    <w:uiPriority w:val="0"/>
    <w:pPr>
      <w:tabs>
        <w:tab w:val="center" w:pos="4153"/>
        <w:tab w:val="right" w:pos="8306"/>
      </w:tabs>
      <w:snapToGrid w:val="0"/>
      <w:jc w:val="left"/>
    </w:pPr>
    <w:rPr>
      <w:sz w:val="18"/>
      <w:szCs w:val="18"/>
    </w:rPr>
  </w:style>
  <w:style w:type="character" w:styleId="8">
    <w:name w:val="Strong"/>
    <w:qFormat/>
    <w:uiPriority w:val="0"/>
    <w:rPr>
      <w:rFonts w:ascii="Verdana" w:hAnsi="Verdana"/>
      <w:b/>
      <w:kern w:val="0"/>
      <w:sz w:val="24"/>
      <w:szCs w:val="20"/>
      <w:lang w:eastAsia="en-US"/>
    </w:rPr>
  </w:style>
  <w:style w:type="character" w:styleId="9">
    <w:name w:val="page number"/>
    <w:basedOn w:val="7"/>
    <w:qFormat/>
    <w:uiPriority w:val="0"/>
  </w:style>
  <w:style w:type="paragraph" w:styleId="10">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28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2026-06-01T02:09:00Z</dcterms:created>
  <dc:creator>郑玉丽</dc:creator>
  <cp:lastModifiedBy>郑玉丽</cp:lastModifiedBy>
  <dcterms:modified xsi:type="dcterms:W3CDTF">2026-06-01T02:11:19Z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041C2F1C39A643FC938C0345B9E5455A_11</vt:lpwstr>
  </property>
  <property fmtid="{D5CDD505-2E9C-101B-9397-08002B2CF9AE}" pid="4" name="KSOTemplateDocerSaveRecord">
    <vt:lpwstr>eyJoZGlkIjoiODNjM2VkZWUwYjdkZDYzZGY2NmZiZGNiZGIyMjFjYWIiLCJ1c2VySWQiOiIxMjE0ODEzMDc5In0=</vt:lpwstr>
  </property>
</Properties>
</file>