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C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p w14:paraId="73096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5"/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初赛项目评分规则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1"/>
        <w:gridCol w:w="2017"/>
        <w:gridCol w:w="4686"/>
      </w:tblGrid>
      <w:tr w14:paraId="340A9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98D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评分层面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BB4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评分指标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88A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指标说明</w:t>
            </w:r>
          </w:p>
        </w:tc>
      </w:tr>
      <w:tr w14:paraId="72C82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103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技术情况</w:t>
            </w:r>
          </w:p>
          <w:p w14:paraId="1B8D1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（30分）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A2F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专利产品技术先进性（10分）</w:t>
            </w:r>
            <w:bookmarkStart w:id="0" w:name="_GoBack"/>
            <w:bookmarkEnd w:id="0"/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9E4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评价与本领域现有技术相比的先进程度，专利产品所采用技术路线是否为先进路线，技术方案所采用技术手段是否为高新技术、前沿技术，与申请日前技术方案相比是否具有明显技术优势等情况</w:t>
            </w:r>
          </w:p>
        </w:tc>
      </w:tr>
      <w:tr w14:paraId="63B44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D2A107">
            <w:pPr>
              <w:rPr>
                <w:rFonts w:hint="eastAsia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22A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专利产品技术重要性（10分）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83B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解决的技术问题对于行业的重要程度，所解决的技术问题是否为业内亟待解决的问题。与申请日前同样产品或可替代产品相比，技术方案所具有的积极技术效果，包括技术性能指标优化、降低成本、增加功能、节能减排、绿色环保、社会效益等情况</w:t>
            </w:r>
          </w:p>
        </w:tc>
      </w:tr>
      <w:tr w14:paraId="4631A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095587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2C5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专利产品技术可替代性（10分）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1BC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评价解决相同技术问题是否存在其他可替代性方案</w:t>
            </w:r>
          </w:p>
        </w:tc>
      </w:tr>
      <w:tr w14:paraId="6722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A8E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核心专利情况（30分）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3A7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核心专利授权文本质量（10分）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B7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权利要求书表意清晰、无逻辑错误，独立权利要求与从属权利要求逻辑严谨、层次合理，说明书公开充分，说明书与附图有效支撑权利要求等情况</w:t>
            </w:r>
          </w:p>
        </w:tc>
      </w:tr>
      <w:tr w14:paraId="1C1DE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C580423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190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核心专利保护范围（10分）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137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权利要求保护范围合理，且布局严密，技术特征表意准确、详略得当，有效独占该技术方案及其等同技术方案的保护范围，竞争对手规避该技术方案的难度等情况</w:t>
            </w:r>
          </w:p>
        </w:tc>
      </w:tr>
      <w:tr w14:paraId="393F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03901A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5CF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核心专利稳定性（10分）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256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与申请日前全球公开技术方案中最接近的技术方案相比，核心专利满足新颖性、创造性、实用性等专利授权要求</w:t>
            </w:r>
          </w:p>
        </w:tc>
      </w:tr>
      <w:tr w14:paraId="6918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29F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其他专利、布图设计情况（15分）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72F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其他发明专利、实用新型专利、外观设计专利、布图设计数量及质量（15分）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1FA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项目中已布局的其他发明专利、实用新型专利、外观设计专利、布图设计数量及质量，与核心专利的协同性、互补性，专利对专利产品的有效支撑性，专利保护范围严密性、不可规避性，海外专利布局等情况。</w:t>
            </w:r>
          </w:p>
        </w:tc>
      </w:tr>
      <w:tr w14:paraId="5C2C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E32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市场规模及</w:t>
            </w:r>
          </w:p>
          <w:p w14:paraId="62B47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市场表现</w:t>
            </w:r>
          </w:p>
          <w:p w14:paraId="4E1C5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（20分）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5F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专利产品规模</w:t>
            </w:r>
          </w:p>
          <w:p w14:paraId="5F776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（5分）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C3F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2025年全国同样产品或可替代产品的市场规模、市场需求发展趋势等情况</w:t>
            </w:r>
          </w:p>
        </w:tc>
      </w:tr>
      <w:tr w14:paraId="08DA4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5BF93D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C33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专利产品市场占有率（5分）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D9D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参赛主体2025年专利产品国内市场占有率及同比等情况</w:t>
            </w:r>
          </w:p>
        </w:tc>
      </w:tr>
      <w:tr w14:paraId="2DE1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405A46">
            <w:pPr>
              <w:rPr>
                <w:rFonts w:hint="default" w:ascii="Calibri" w:hAnsi="Calibri" w:cs="Calibri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</w:pP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AB9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专利运营及产业化情况（10分）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0A1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评价项目专利通过产业化、在江门市落地实施、作价入股、转让、许可（含开放许可）、证券化、专利密集型产品备案认定等运营行为</w:t>
            </w:r>
          </w:p>
        </w:tc>
      </w:tr>
      <w:tr w14:paraId="5345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B55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网络投票</w:t>
            </w:r>
          </w:p>
          <w:p w14:paraId="38F70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（5分）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AD3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网络投票（5分）</w:t>
            </w:r>
          </w:p>
        </w:tc>
        <w:tc>
          <w:tcPr>
            <w:tcW w:w="2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1CE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0—2500票对应0—5分，即满2500票可获得5分</w:t>
            </w:r>
          </w:p>
        </w:tc>
      </w:tr>
    </w:tbl>
    <w:p w14:paraId="6EB6A5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3773"/>
    <w:rsid w:val="588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2026-06-15T03:13:00Z</dcterms:created>
  <dc:creator>明明就</dc:creator>
  <cp:lastModifiedBy>明明就</cp:lastModifiedBy>
  <dcterms:modified xsi:type="dcterms:W3CDTF">2026-06-15T03:14:01Z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44F9003D099B422FB84481BB7F6DFFC1_11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